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7A977" w14:textId="77777777" w:rsidR="00735791" w:rsidRDefault="00000000">
      <w:pPr>
        <w:spacing w:after="297" w:line="259" w:lineRule="auto"/>
        <w:ind w:left="0" w:right="0" w:firstLine="0"/>
        <w:jc w:val="left"/>
      </w:pPr>
      <w:r>
        <w:t xml:space="preserve"> </w:t>
      </w:r>
    </w:p>
    <w:p w14:paraId="12CD162C" w14:textId="77777777" w:rsidR="00735791" w:rsidRDefault="00000000">
      <w:pPr>
        <w:spacing w:after="278" w:line="238" w:lineRule="auto"/>
        <w:ind w:left="0" w:right="0" w:firstLine="0"/>
        <w:jc w:val="center"/>
      </w:pPr>
      <w:r>
        <w:rPr>
          <w:b/>
        </w:rPr>
        <w:t xml:space="preserve">Protocol as a Subfield of Public Relations: Theoretical Foundations, Practice, and Implications for Professional Action </w:t>
      </w:r>
    </w:p>
    <w:p w14:paraId="60D84497" w14:textId="77777777" w:rsidR="00735791" w:rsidRDefault="00000000">
      <w:pPr>
        <w:spacing w:after="22" w:line="259" w:lineRule="auto"/>
        <w:ind w:left="55" w:right="0" w:firstLine="0"/>
        <w:jc w:val="center"/>
      </w:pPr>
      <w:r>
        <w:rPr>
          <w:b/>
        </w:rPr>
        <w:t xml:space="preserve"> </w:t>
      </w:r>
    </w:p>
    <w:p w14:paraId="63CC2DF1" w14:textId="77777777" w:rsidR="00735791" w:rsidRDefault="00000000">
      <w:pPr>
        <w:spacing w:after="23" w:line="259" w:lineRule="auto"/>
        <w:jc w:val="center"/>
      </w:pPr>
      <w:r>
        <w:t xml:space="preserve">Suleyman Ahmed Malami,  </w:t>
      </w:r>
    </w:p>
    <w:p w14:paraId="2B0B75A1" w14:textId="77777777" w:rsidR="00735791" w:rsidRDefault="00000000">
      <w:pPr>
        <w:spacing w:after="23" w:line="259" w:lineRule="auto"/>
        <w:ind w:right="5"/>
        <w:jc w:val="center"/>
      </w:pPr>
      <w:r>
        <w:t xml:space="preserve">Department of Mass Communication  </w:t>
      </w:r>
    </w:p>
    <w:p w14:paraId="71AC7DB9" w14:textId="77777777" w:rsidR="00735791" w:rsidRDefault="00000000">
      <w:pPr>
        <w:spacing w:after="257" w:line="259" w:lineRule="auto"/>
        <w:ind w:right="5"/>
        <w:jc w:val="center"/>
      </w:pPr>
      <w:r>
        <w:t xml:space="preserve">Abubakar Tatari Ali Polytechnic, Bauchi State, Nigeria. Email: suleymalami@gmail.com </w:t>
      </w:r>
    </w:p>
    <w:p w14:paraId="0160130E" w14:textId="77777777" w:rsidR="00735791" w:rsidRDefault="00000000">
      <w:pPr>
        <w:pStyle w:val="Heading1"/>
        <w:numPr>
          <w:ilvl w:val="0"/>
          <w:numId w:val="0"/>
        </w:numPr>
        <w:ind w:left="-5"/>
      </w:pPr>
      <w:r>
        <w:t xml:space="preserve">Abstract </w:t>
      </w:r>
    </w:p>
    <w:p w14:paraId="5DC7A27A" w14:textId="77777777" w:rsidR="00735791" w:rsidRDefault="00000000">
      <w:pPr>
        <w:ind w:left="-5" w:right="0"/>
      </w:pPr>
      <w:r>
        <w:t xml:space="preserve">Protocol has traditionally been associated with diplomacy, ceremonial procedures, and state functions, yet its strategic significance within public relations has received limited scholarly attention. Contemporary organizations operate in increasingly complex communication environments characterized by globalization, digital transformation, multicultural stakeholder engagement, and heightened public scrutiny. In such contexts, protocol extends beyond ceremonial observance to become a strategic communication mechanism that shapes organizational legitimacy, stakeholder trust, institutional identity, and reputation management. This conceptual review examines protocol as an emerging subfield of public relations by synthesizing literature from public relations, corporate communication, diplomacy, organizational studies, and crisis communication. The paper argues that protocol should be recognized as a strategic management function that complements media relations, stakeholder engagement, event management, and crisis communication. It introduces the Protocol Communication Framework (PCF) as a conceptual model explaining how protocol influences organizational effectiveness through five interrelated dimensions: institutional legitimacy, strategic communication, stakeholder relationship management, reputation enhancement, and crisis preparedness. The review further examines the historical evolution of protocol, its theoretical foundations, methodological approaches for future research, practical applications across governmental and corporate settings, and emerging challenges associated with digital communication and globalization. The article concludes by proposing future research priorities aimed at integrating protocol into mainstream public relations scholarship and professional education. Recognizing protocol as a distinct domain within public relations broadens theoretical understanding while enhancing professional practice in government, business, international organizations, and civil society. </w:t>
      </w:r>
    </w:p>
    <w:p w14:paraId="4EB10A79" w14:textId="77777777" w:rsidR="00735791" w:rsidRDefault="00000000">
      <w:pPr>
        <w:ind w:left="-5" w:right="0"/>
      </w:pPr>
      <w:r>
        <w:rPr>
          <w:b/>
        </w:rPr>
        <w:t>Keywords:</w:t>
      </w:r>
      <w:r>
        <w:t xml:space="preserve"> Protocol, Public Relations, Strategic Communication, Stakeholder Engagement, Corporate Identity, Reputation Management, Diplomacy </w:t>
      </w:r>
    </w:p>
    <w:p w14:paraId="78EB9553" w14:textId="77777777" w:rsidR="00735791" w:rsidRDefault="00000000">
      <w:pPr>
        <w:pStyle w:val="Heading1"/>
        <w:ind w:left="225" w:hanging="240"/>
      </w:pPr>
      <w:r>
        <w:lastRenderedPageBreak/>
        <w:t xml:space="preserve">Introduction </w:t>
      </w:r>
    </w:p>
    <w:p w14:paraId="00CC9B66" w14:textId="77777777" w:rsidR="00735791" w:rsidRDefault="00000000">
      <w:pPr>
        <w:ind w:left="-5" w:right="0"/>
      </w:pPr>
      <w:r>
        <w:t xml:space="preserve">Public relations has evolved considerably from its early emphasis on publicity and media relations into a comprehensive strategic management function that facilitates communication between organizations and their diverse stakeholders. Modern public relations encompasses corporate communication, crisis management, stakeholder engagement, digital communication, public affairs, corporate social responsibility, and reputation management. This transformation reflects growing recognition that organizational success depends not merely on disseminating information but on establishing and maintaining mutually beneficial relationships with internal and external publics (Grunig &amp; Hunt, 1984; Grunig, 2006). </w:t>
      </w:r>
    </w:p>
    <w:p w14:paraId="4472507A" w14:textId="77777777" w:rsidR="00735791" w:rsidRDefault="00000000">
      <w:pPr>
        <w:ind w:left="-5" w:right="0"/>
      </w:pPr>
      <w:r>
        <w:t xml:space="preserve">Despite this broad evolution, one important component of organizational communication has received relatively limited scholarly attention: </w:t>
      </w:r>
      <w:r>
        <w:rPr>
          <w:b/>
        </w:rPr>
        <w:t>protocol</w:t>
      </w:r>
      <w:r>
        <w:t xml:space="preserve">. Although protocol is widely practiced across governmental institutions, diplomatic missions, multinational corporations, universities, international organizations, and public agencies, it is often regarded merely as a ceremonial or administrative responsibility rather than a strategic communication function. Consequently, the theoretical foundations of protocol within public relations remain underdeveloped despite its substantial influence on organizational image, institutional legitimacy, leadership communication, and stakeholder perceptions (Berridge, 2015). </w:t>
      </w:r>
    </w:p>
    <w:p w14:paraId="7086298B" w14:textId="77777777" w:rsidR="00735791" w:rsidRDefault="00000000">
      <w:pPr>
        <w:ind w:left="-5" w:right="0"/>
      </w:pPr>
      <w:r>
        <w:t xml:space="preserve">Historically, protocol has been associated with diplomacy, where standardized procedures govern interactions among sovereign states, diplomatic representatives, and international institutions (Berridge, 2015). These procedures include rules relating to precedence, official ceremonies, state visits, diplomatic correspondence, flag etiquette, seating arrangements, and ceremonial observances. Such conventions were developed to minimize ambiguity, prevent diplomatic misunderstandings, and promote peaceful international relations. Over time, however, protocol has expanded beyond governmental diplomacy to become an essential component of organizational communication across both public and private sectors (Fawkes, 2018). </w:t>
      </w:r>
    </w:p>
    <w:p w14:paraId="65F49AE7" w14:textId="77777777" w:rsidR="00735791" w:rsidRDefault="00000000">
      <w:pPr>
        <w:ind w:left="-5" w:right="0"/>
      </w:pPr>
      <w:r>
        <w:t xml:space="preserve">In contemporary organizations, protocol influences virtually every aspect of formal institutional interaction. Corporate organizations rely on protocol during shareholder meetings, executive conferences, product launches, award ceremonies, board meetings, and international negotiations. Universities employ protocol during convocations, inaugural lectures, honorary degree ceremonies, and international partnerships. Government agencies depend on protocol for offici al visits, ministerial meetings, policy launches, and public ceremonies (Fawkes, 2018). Similarly, international organizations utilize protocol to coordinate multinational conferences, diplomatic negotiations, humanitarian interventions, and multilateral decision-making processes. These activities demonstrate that protocol functions not simply as ceremonial observance but as a strategic communication mechanism through which organizations express values, authority, legitimacy, professionalism, and respect (Berridge, 2015). </w:t>
      </w:r>
    </w:p>
    <w:p w14:paraId="73E76ED9" w14:textId="77777777" w:rsidR="00735791" w:rsidRDefault="00000000">
      <w:pPr>
        <w:ind w:left="-5" w:right="0"/>
      </w:pPr>
      <w:r>
        <w:lastRenderedPageBreak/>
        <w:t xml:space="preserve">The increasing complexity of stakeholder environments has further elevated the strategic importance of protocol. Organizations now interact with diverse audiences representing different cultures, political systems, religious traditions, legal frameworks, and communication expectations (Fawkes, 2018). Globalization has intensified cross-border collaboration, making intercultural competence an indispensable skill for communication professionals. Simultaneously, digital technologies have transformed organizational communication through virtual meetings, hybrid conferences, online diplomacy, and digital stakeholder engagement. These developments require new forms of protocol that extend beyond physical ceremonies into virtual communication environments, where issues such as digital etiquette, cybersecurity, virtual precedence, and online professionalism have become increasingly significant. </w:t>
      </w:r>
    </w:p>
    <w:p w14:paraId="1094805C" w14:textId="77777777" w:rsidR="00735791" w:rsidRDefault="00000000">
      <w:pPr>
        <w:ind w:left="-5" w:right="0"/>
      </w:pPr>
      <w:r>
        <w:t xml:space="preserve">Johanna Fawkes (2018) observed that protocol remains one of the least examined areas within public relations scholarship despite its extensive practical application. Existing literature tends to discuss protocol indirectly within broader topics such as event management, public affairs, diplomatic communication, or crisis management rather than examining it as an independent strategic communication function. This imbalance between professional practice and academic inquiry has created an important gap within public relations theory. While practitioners routinely recognize protocol as essential for successful organizational communication, researchers have devoted comparatively little attention to developing theoretical frameworks that explain its contribution to organizational effectiveness (Fawkes, 2018). </w:t>
      </w:r>
    </w:p>
    <w:p w14:paraId="2C0CF0E9" w14:textId="77777777" w:rsidR="00735791" w:rsidRDefault="00000000">
      <w:pPr>
        <w:ind w:left="-5" w:right="0"/>
      </w:pPr>
      <w:r>
        <w:t xml:space="preserve">The present article seeks to address this gap by arguing that protocol should be recognized as a distinct subfield of public relations. Rather than viewing protocol solely as ceremonial procedure or administrative routine, this paper conceptualizes it as a strategic communication function that supports organizational legitimacy, stakeholder relationship management, corporate identity, reputation enhancement, and crisis preparedness. The article draws upon interdisciplinary scholarship from public relations, diplomacy, organizational communication, management, sociology, and international relations to provide a comprehensive understanding of protocol's theoretical and practical significance (Berridge, 2015). </w:t>
      </w:r>
    </w:p>
    <w:p w14:paraId="0782E9EC" w14:textId="77777777" w:rsidR="00735791" w:rsidRDefault="00000000">
      <w:pPr>
        <w:ind w:left="-5" w:right="0"/>
      </w:pPr>
      <w:r>
        <w:t>To advance scholarly discussion, this article proposes the Protocol Communication</w:t>
      </w:r>
      <w:r>
        <w:rPr>
          <w:b/>
        </w:rPr>
        <w:t xml:space="preserve"> </w:t>
      </w:r>
      <w:r>
        <w:t>Framework (PCF)</w:t>
      </w:r>
      <w:r>
        <w:rPr>
          <w:b/>
        </w:rPr>
        <w:t>,</w:t>
      </w:r>
      <w:r>
        <w:t xml:space="preserve"> a conceptual model that positions protocol as a strategic communication system linking organizational behavior with stakeholder perceptions (Berridge, 2015). The framework identifies five interconnected dimensions through which protocol contributes to organizational success: institutional legitimacy</w:t>
      </w:r>
      <w:r>
        <w:rPr>
          <w:b/>
        </w:rPr>
        <w:t>,</w:t>
      </w:r>
      <w:r>
        <w:t xml:space="preserve"> by reinforcing authority and governance; strategic communication, by ensuring consistency in official interactions; stakeholder relationship management, by fostering trust and respect; reputation enhancement, by projecting professionalism and organizational competence; and crisis preparedness, by establishing standardized procedures for effective decision-making during emergencies. Together, these dimensions demonstrate that protocol is not merely a ceremonial practice but a strategic asset that influences organizational performance across multiple contexts (Fawkes, 2018). </w:t>
      </w:r>
    </w:p>
    <w:p w14:paraId="4454BCF4" w14:textId="77777777" w:rsidR="00735791" w:rsidRDefault="00000000">
      <w:pPr>
        <w:ind w:left="-5" w:right="0"/>
      </w:pPr>
      <w:r>
        <w:t xml:space="preserve">The objectives of this article are therefore fourfold. First, it examines the conceptual and historical development of protocol within public relations. Second, it explores the theoretical perspectives that explain protocol's communication functions. Third, it reviews contemporary organizational applications of protocol across governmental, corporate, and international settings. Finally, it identifies future research priorities and proposes greater integration of protocol into public relations education, professional practice, and scholarly inquiry. By repositioning protocol within the broader framework of strategic communication, this article contributes to ongoing efforts to expand public relations theory while providing practical insights for communication professionals operating in increasingly complex institutional environments. </w:t>
      </w:r>
    </w:p>
    <w:p w14:paraId="01E1BBA7" w14:textId="77777777" w:rsidR="00735791" w:rsidRDefault="00000000">
      <w:pPr>
        <w:spacing w:after="254" w:line="259" w:lineRule="auto"/>
        <w:ind w:left="0" w:right="0" w:firstLine="0"/>
        <w:jc w:val="left"/>
      </w:pPr>
      <w:r>
        <w:t xml:space="preserve"> </w:t>
      </w:r>
    </w:p>
    <w:p w14:paraId="4BE8B56E" w14:textId="77777777" w:rsidR="00735791" w:rsidRDefault="00000000">
      <w:pPr>
        <w:pStyle w:val="Heading1"/>
        <w:ind w:left="225" w:hanging="240"/>
      </w:pPr>
      <w:r>
        <w:t xml:space="preserve">Theoretical Foundations of Protocol within Public Relations </w:t>
      </w:r>
    </w:p>
    <w:p w14:paraId="39852CE8" w14:textId="77777777" w:rsidR="00735791" w:rsidRDefault="00000000">
      <w:pPr>
        <w:pStyle w:val="Heading2"/>
        <w:ind w:left="345" w:hanging="360"/>
      </w:pPr>
      <w:r>
        <w:t xml:space="preserve">Defining Protocol in the Public Relations Landscape </w:t>
      </w:r>
    </w:p>
    <w:p w14:paraId="451898FF" w14:textId="77777777" w:rsidR="00735791" w:rsidRDefault="00000000">
      <w:pPr>
        <w:ind w:left="-5" w:right="0"/>
      </w:pPr>
      <w:r>
        <w:t xml:space="preserve">Protocol is a structured system of rules, conventions, customs, etiquette, and formal procedures that govern official communication, ceremonial conduct, institutional relationships, and organizational interactions. Within the field of public relations (PR), protocol serves as a strategic communication mechanism that promotes order, consistency, professionalism, and credibility in engagements with internal and external stakeholders. Rather than being limited to ceremonial formalities, protocol represents an integral component of organizational communication that reflects institutional identity, authority, and values (Fawkes, 2018). </w:t>
      </w:r>
    </w:p>
    <w:p w14:paraId="5BB24ADF" w14:textId="77777777" w:rsidR="00735791" w:rsidRDefault="00000000">
      <w:pPr>
        <w:ind w:left="-5" w:right="0"/>
      </w:pPr>
      <w:r>
        <w:t xml:space="preserve">The term </w:t>
      </w:r>
      <w:r>
        <w:rPr>
          <w:i/>
        </w:rPr>
        <w:t>protocol</w:t>
      </w:r>
      <w:r>
        <w:t xml:space="preserve"> originates from the Greek word </w:t>
      </w:r>
      <w:r>
        <w:rPr>
          <w:i/>
        </w:rPr>
        <w:t>protokollon</w:t>
      </w:r>
      <w:r>
        <w:t xml:space="preserve">, referring to the first sheet attached to an official manuscript, which authenticated the document. Over time, the concept evolved to encompass the formal rules regulating diplomatic, governmental, military, and corporate interactions (Berridge, 2015). Today, protocol extends beyond diplomacy into business organizations, international institutions, universities, multinational corporations, nongovernmental organizations, and public sector institutions. </w:t>
      </w:r>
    </w:p>
    <w:p w14:paraId="61EF3DDA" w14:textId="77777777" w:rsidR="00735791" w:rsidRDefault="00000000">
      <w:pPr>
        <w:ind w:left="-5" w:right="0"/>
      </w:pPr>
      <w:r>
        <w:t xml:space="preserve">Within public relations practice, protocol performs several important communication functions: </w:t>
      </w:r>
    </w:p>
    <w:p w14:paraId="3224C32A" w14:textId="77777777" w:rsidR="00735791" w:rsidRDefault="00000000">
      <w:pPr>
        <w:numPr>
          <w:ilvl w:val="0"/>
          <w:numId w:val="1"/>
        </w:numPr>
        <w:spacing w:after="9"/>
        <w:ind w:right="0" w:hanging="360"/>
      </w:pPr>
      <w:r>
        <w:rPr>
          <w:rFonts w:ascii="Calibri" w:eastAsia="Calibri" w:hAnsi="Calibri" w:cs="Calibri"/>
          <w:b/>
        </w:rPr>
        <w:t>Communicating organizational values:</w:t>
      </w:r>
      <w:r>
        <w:t xml:space="preserve"> Protocol symbolizes an organization's commitment to professionalism, transparency, respect, accountability, and institutional culture. Proper observance of protocol demonstrates organizational discipline and reinforces corporate values (Grunig &amp; Hunt, 1984).  </w:t>
      </w:r>
    </w:p>
    <w:p w14:paraId="475FFC79" w14:textId="77777777" w:rsidR="00735791" w:rsidRDefault="00000000">
      <w:pPr>
        <w:numPr>
          <w:ilvl w:val="0"/>
          <w:numId w:val="1"/>
        </w:numPr>
        <w:spacing w:after="4"/>
        <w:ind w:right="0" w:hanging="360"/>
      </w:pPr>
      <w:r>
        <w:rPr>
          <w:rFonts w:ascii="Calibri" w:eastAsia="Calibri" w:hAnsi="Calibri" w:cs="Calibri"/>
          <w:b/>
        </w:rPr>
        <w:t>Managing institutional image and reputation:</w:t>
      </w:r>
      <w:r>
        <w:t xml:space="preserve"> Every official ceremony, executive visit, press briefing, conference, or corporate event communicates messages about the organization's competence and credibility. Protocol helps create positive stakeholder perceptions through orderly communication and professional presentation (Doorley &amp; Garcia, 2020).  </w:t>
      </w:r>
    </w:p>
    <w:p w14:paraId="48657C1B" w14:textId="77777777" w:rsidR="00735791" w:rsidRDefault="00000000">
      <w:pPr>
        <w:numPr>
          <w:ilvl w:val="0"/>
          <w:numId w:val="1"/>
        </w:numPr>
        <w:spacing w:after="10"/>
        <w:ind w:right="0" w:hanging="360"/>
      </w:pPr>
      <w:r>
        <w:rPr>
          <w:rFonts w:ascii="Calibri" w:eastAsia="Calibri" w:hAnsi="Calibri" w:cs="Calibri"/>
          <w:b/>
        </w:rPr>
        <w:t>Reinforcing organizational hierarchy:</w:t>
      </w:r>
      <w:r>
        <w:t xml:space="preserve"> Protocol establishes clear lines of authority through rules of precedence, official titles, seating arrangements, introductions, and ceremonial order. Such structures reduce ambiguity during official functions and preserve institutional legitimacy (Berridge, 2015).  </w:t>
      </w:r>
    </w:p>
    <w:p w14:paraId="785702F4" w14:textId="77777777" w:rsidR="00735791" w:rsidRDefault="00000000">
      <w:pPr>
        <w:numPr>
          <w:ilvl w:val="0"/>
          <w:numId w:val="1"/>
        </w:numPr>
        <w:ind w:right="0" w:hanging="360"/>
      </w:pPr>
      <w:r>
        <w:rPr>
          <w:rFonts w:ascii="Calibri" w:eastAsia="Calibri" w:hAnsi="Calibri" w:cs="Calibri"/>
          <w:b/>
        </w:rPr>
        <w:t>Facilitating stakeholder relationships:</w:t>
      </w:r>
      <w:r>
        <w:t xml:space="preserve"> Public relations practitioners frequently engage government officials, investors, community leaders, media professionals, diplomats, development partners, and international organizations. Protocol provides universally accepted behavioural standards that foster mutual respect and cooperation (Ledingham &amp; Bruning, 2000).  </w:t>
      </w:r>
    </w:p>
    <w:p w14:paraId="3D19411A" w14:textId="77777777" w:rsidR="00735791" w:rsidRDefault="00000000">
      <w:pPr>
        <w:numPr>
          <w:ilvl w:val="0"/>
          <w:numId w:val="1"/>
        </w:numPr>
        <w:spacing w:after="19"/>
        <w:ind w:right="0" w:hanging="360"/>
      </w:pPr>
      <w:r>
        <w:rPr>
          <w:rFonts w:ascii="Calibri" w:eastAsia="Calibri" w:hAnsi="Calibri" w:cs="Calibri"/>
          <w:b/>
        </w:rPr>
        <w:t>Demonstrating professionalism:</w:t>
      </w:r>
      <w:r>
        <w:t xml:space="preserve"> Observance of protocol reflects organizational competence and attention to detail. Organizations that consistently follow protocol are generally perceived as more trustworthy and reliable.  </w:t>
      </w:r>
    </w:p>
    <w:p w14:paraId="0CE36308" w14:textId="77777777" w:rsidR="00735791" w:rsidRDefault="00000000">
      <w:pPr>
        <w:numPr>
          <w:ilvl w:val="0"/>
          <w:numId w:val="1"/>
        </w:numPr>
        <w:ind w:right="0" w:hanging="360"/>
      </w:pPr>
      <w:r>
        <w:rPr>
          <w:rFonts w:ascii="Calibri" w:eastAsia="Calibri" w:hAnsi="Calibri" w:cs="Calibri"/>
          <w:b/>
        </w:rPr>
        <w:t>Minimizing communication risks:</w:t>
      </w:r>
      <w:r>
        <w:t xml:space="preserve"> Poor protocol management may generate embarrassment, diplomatic misunderstandings, reputational damage, or organizational conflict. Protocol therefore functions as a preventive communication strategy that reduces operational and symbolic risks (Coombs, 2019).  </w:t>
      </w:r>
    </w:p>
    <w:p w14:paraId="0A5AE28E" w14:textId="77777777" w:rsidR="00735791" w:rsidRDefault="00000000">
      <w:pPr>
        <w:ind w:left="-5" w:right="0"/>
      </w:pPr>
      <w:r>
        <w:t xml:space="preserve">Unlike etiquette, which primarily concerns personal behaviour and social courtesy, protocol is institutional and strategic in nature. Etiquette governs how individuals behave in social settings, whereas protocol governs how organizations formally communicate through symbols, ceremonies, official correspondence, state visits, corporate events, diplomatic engagements, award ceremonies, and executive interactions (Fawkes, 2018). </w:t>
      </w:r>
    </w:p>
    <w:p w14:paraId="5BB22159" w14:textId="77777777" w:rsidR="00735791" w:rsidRDefault="00000000">
      <w:pPr>
        <w:ind w:left="-5" w:right="0"/>
      </w:pPr>
      <w:r>
        <w:t xml:space="preserve">Consequently, protocol can be viewed as a form of </w:t>
      </w:r>
      <w:r>
        <w:rPr>
          <w:b/>
        </w:rPr>
        <w:t>non-verbal organizational communication</w:t>
      </w:r>
      <w:r>
        <w:t xml:space="preserve">, where symbolic actions communicate institutional authority, legitimacy, culture, and professionalism without relying solely on spoken or written messages. Every element—including flags, logos, order of speeches, seating plans, dress codes, national anthems, and ceremonial rituals—conveys strategic communication messages that influence stakeholder perceptions. </w:t>
      </w:r>
    </w:p>
    <w:p w14:paraId="5BB64346" w14:textId="77777777" w:rsidR="00735791" w:rsidRDefault="00000000">
      <w:pPr>
        <w:pStyle w:val="Heading2"/>
        <w:ind w:left="345" w:hanging="360"/>
      </w:pPr>
      <w:r>
        <w:t xml:space="preserve">Historical Development and Scholarly Debates </w:t>
      </w:r>
    </w:p>
    <w:p w14:paraId="7A3FBC80" w14:textId="77777777" w:rsidR="00735791" w:rsidRDefault="00000000">
      <w:pPr>
        <w:ind w:left="-5" w:right="0"/>
      </w:pPr>
      <w:r>
        <w:t xml:space="preserve">Protocol has existed throughout human civilization as societies developed formal mechanisms for regulating political authority, diplomacy, and ceremonial interactions. Ancient civilizations including Egypt, Mesopotamia, Greece, Rome, China, Persia, and the Ottoman Empire developed elaborate ceremonial systems governing relationships among rulers, religious authorities, military leaders, and foreign representatives (Hamilton &amp; Langhorne, 2011). </w:t>
      </w:r>
    </w:p>
    <w:p w14:paraId="7A2F862A" w14:textId="77777777" w:rsidR="00735791" w:rsidRDefault="00000000">
      <w:pPr>
        <w:ind w:left="-5" w:right="0"/>
      </w:pPr>
      <w:r>
        <w:t xml:space="preserve">In Ancient Egypt, diplomatic exchanges involved highly structured ceremonies that demonstrated the Pharaoh's authority and divine legitimacy. Similar practices emerged in Imperial China, where strict court protocol reflected Confucian principles of hierarchy, respect, and social order. The Roman Empire likewise developed extensive ceremonial traditions governing military honours, political assemblies, and diplomatic receptions. </w:t>
      </w:r>
    </w:p>
    <w:p w14:paraId="0C3AE947" w14:textId="77777777" w:rsidR="00735791" w:rsidRDefault="00000000">
      <w:pPr>
        <w:ind w:left="-5" w:right="0"/>
      </w:pPr>
      <w:r>
        <w:t xml:space="preserve">During the Middle Ages, European monarchies institutionalized court protocol to regulate interactions among nobles, ambassadors, and foreign dignitaries. Protocol became increasingly sophisticated as international diplomacy expanded through trade, colonization, and interstate alliances (Berridge, 2015). </w:t>
      </w:r>
    </w:p>
    <w:p w14:paraId="4B14118C" w14:textId="77777777" w:rsidR="00735791" w:rsidRDefault="00000000">
      <w:pPr>
        <w:ind w:left="-5" w:right="0"/>
      </w:pPr>
      <w:r>
        <w:t xml:space="preserve">Modern diplomatic protocol emerged following the </w:t>
      </w:r>
      <w:r>
        <w:rPr>
          <w:b/>
        </w:rPr>
        <w:t>Congress of Vienna (1815)</w:t>
      </w:r>
      <w:r>
        <w:t xml:space="preserve">, which standardized diplomatic precedence, ambassadorial ranks, ceremonial procedures, and official representation among European states. These principles remain foundational to contemporary diplomatic practice and continue to influence governmental and international organizational communication. </w:t>
      </w:r>
    </w:p>
    <w:p w14:paraId="5BF21002" w14:textId="77777777" w:rsidR="00735791" w:rsidRDefault="00000000">
      <w:pPr>
        <w:ind w:left="-5" w:right="0"/>
      </w:pPr>
      <w:r>
        <w:t xml:space="preserve">The twentieth century witnessed the expansion of protocol beyond diplomacy into public administration, multinational corporations, international organizations, universities, healthcare institutions, and global sporting events. Increasing globalization further elevated protocol as organizations interacted across diverse cultural, political, and legal environments (Samovar, Porter, McDaniel, &amp; Roy, 2017). </w:t>
      </w:r>
    </w:p>
    <w:p w14:paraId="705D08FF" w14:textId="77777777" w:rsidR="00735791" w:rsidRDefault="00000000">
      <w:pPr>
        <w:ind w:left="-5" w:right="0"/>
      </w:pPr>
      <w:r>
        <w:t xml:space="preserve">Despite its practical importance, protocol has received relatively limited scholarly attention within mainstream public relations literature. Research has traditionally focused on media relations, reputation management, crisis communication, stakeholder engagement, strategic communication, and digital media, while protocol has often been treated merely as an operational function rather than a strategic communication discipline (Fawkes, 2018). </w:t>
      </w:r>
    </w:p>
    <w:p w14:paraId="3C2F0A89" w14:textId="77777777" w:rsidR="00735791" w:rsidRDefault="00000000">
      <w:pPr>
        <w:spacing w:after="316"/>
        <w:ind w:left="-5" w:right="0"/>
      </w:pPr>
      <w:r>
        <w:t xml:space="preserve">Since the 1970s, protocol-related scholarship has largely appeared within specialized fields such as: </w:t>
      </w:r>
    </w:p>
    <w:p w14:paraId="73B3F2D2" w14:textId="77777777" w:rsidR="00735791" w:rsidRDefault="00000000">
      <w:pPr>
        <w:numPr>
          <w:ilvl w:val="0"/>
          <w:numId w:val="2"/>
        </w:numPr>
        <w:spacing w:after="35"/>
        <w:ind w:right="0" w:hanging="360"/>
      </w:pPr>
      <w:r>
        <w:t xml:space="preserve">Government communication  </w:t>
      </w:r>
    </w:p>
    <w:p w14:paraId="59776650" w14:textId="77777777" w:rsidR="00735791" w:rsidRDefault="00000000">
      <w:pPr>
        <w:numPr>
          <w:ilvl w:val="0"/>
          <w:numId w:val="2"/>
        </w:numPr>
        <w:spacing w:after="34"/>
        <w:ind w:right="0" w:hanging="360"/>
      </w:pPr>
      <w:r>
        <w:t xml:space="preserve">Diplomatic communication  </w:t>
      </w:r>
    </w:p>
    <w:p w14:paraId="549CE700" w14:textId="77777777" w:rsidR="00735791" w:rsidRDefault="00000000">
      <w:pPr>
        <w:numPr>
          <w:ilvl w:val="0"/>
          <w:numId w:val="2"/>
        </w:numPr>
        <w:spacing w:after="35"/>
        <w:ind w:right="0" w:hanging="360"/>
      </w:pPr>
      <w:r>
        <w:t xml:space="preserve">Public affairs  </w:t>
      </w:r>
    </w:p>
    <w:p w14:paraId="2256BFF9" w14:textId="77777777" w:rsidR="00735791" w:rsidRDefault="00000000">
      <w:pPr>
        <w:numPr>
          <w:ilvl w:val="0"/>
          <w:numId w:val="2"/>
        </w:numPr>
        <w:spacing w:after="32"/>
        <w:ind w:right="0" w:hanging="360"/>
      </w:pPr>
      <w:r>
        <w:t xml:space="preserve">International relations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t xml:space="preserve">Event management  </w:t>
      </w:r>
    </w:p>
    <w:p w14:paraId="750F662E" w14:textId="77777777" w:rsidR="00735791" w:rsidRDefault="00000000">
      <w:pPr>
        <w:numPr>
          <w:ilvl w:val="0"/>
          <w:numId w:val="2"/>
        </w:numPr>
        <w:spacing w:after="35"/>
        <w:ind w:right="0" w:hanging="360"/>
      </w:pPr>
      <w:r>
        <w:t xml:space="preserve">Crisis communication  </w:t>
      </w:r>
    </w:p>
    <w:p w14:paraId="6ACFF1C9" w14:textId="77777777" w:rsidR="00735791" w:rsidRDefault="00000000">
      <w:pPr>
        <w:numPr>
          <w:ilvl w:val="0"/>
          <w:numId w:val="2"/>
        </w:numPr>
        <w:ind w:right="0" w:hanging="360"/>
      </w:pPr>
      <w:r>
        <w:t xml:space="preserve">Organizational communication  </w:t>
      </w:r>
    </w:p>
    <w:p w14:paraId="467BAE9F" w14:textId="77777777" w:rsidR="00735791" w:rsidRDefault="00000000">
      <w:pPr>
        <w:ind w:left="-5" w:right="0"/>
      </w:pPr>
      <w:r>
        <w:t xml:space="preserve">Fawkes (2018) argues that protocol occupies an unusual position within public relations because practitioners consider it indispensable, whereas academic researchers rarely investigate it as an independent area of inquiry. This imbalance illustrates a significant disconnect between professional practice and scholarly research. </w:t>
      </w:r>
    </w:p>
    <w:p w14:paraId="11E6D452" w14:textId="77777777" w:rsidR="00735791" w:rsidRDefault="00000000">
      <w:pPr>
        <w:ind w:left="-5" w:right="0"/>
      </w:pPr>
      <w:r>
        <w:t xml:space="preserve">Recent developments—including globalization, digital diplomacy, multinational partnerships, international conferences, virtual events, and cross-cultural communication—have renewed scholarly interest in protocol as an essential component of strategic organizational communication (Doorley &amp; Garcia, 2020). </w:t>
      </w:r>
    </w:p>
    <w:p w14:paraId="5F6BF6FF" w14:textId="77777777" w:rsidR="00735791" w:rsidRDefault="00000000">
      <w:pPr>
        <w:pStyle w:val="Heading2"/>
        <w:ind w:left="345" w:hanging="360"/>
      </w:pPr>
      <w:r>
        <w:t xml:space="preserve">Intersections with Diplomacy, Crisis Communication, and Event Management </w:t>
      </w:r>
    </w:p>
    <w:p w14:paraId="4BEF9118" w14:textId="77777777" w:rsidR="00735791" w:rsidRDefault="00000000">
      <w:pPr>
        <w:ind w:left="-5" w:right="0"/>
      </w:pPr>
      <w:r>
        <w:t xml:space="preserve">Protocol is inherently interdisciplinary and intersects with several core domains of public relations practice. Its application extends beyond ceremonial activities to strategic communication, relationship management, organizational legitimacy, and institutional reputation. </w:t>
      </w:r>
    </w:p>
    <w:p w14:paraId="409E143E" w14:textId="77777777" w:rsidR="00735791" w:rsidRDefault="00000000">
      <w:pPr>
        <w:spacing w:after="0" w:line="259" w:lineRule="auto"/>
        <w:ind w:left="0" w:right="0" w:firstLine="0"/>
        <w:jc w:val="left"/>
      </w:pPr>
      <w:r>
        <w:t xml:space="preserve"> </w:t>
      </w:r>
    </w:p>
    <w:p w14:paraId="0B7B7627" w14:textId="77777777" w:rsidR="00735791" w:rsidRDefault="00000000">
      <w:pPr>
        <w:pStyle w:val="Heading1"/>
        <w:numPr>
          <w:ilvl w:val="0"/>
          <w:numId w:val="0"/>
        </w:numPr>
        <w:ind w:left="-5"/>
      </w:pPr>
      <w:r>
        <w:t xml:space="preserve">Protocol and Diplomacy </w:t>
      </w:r>
    </w:p>
    <w:p w14:paraId="1A7071AA" w14:textId="77777777" w:rsidR="00735791" w:rsidRDefault="00000000">
      <w:pPr>
        <w:spacing w:after="318"/>
        <w:ind w:left="-5" w:right="0"/>
      </w:pPr>
      <w:r>
        <w:t xml:space="preserve">Diplomacy depends heavily upon protocol because international relations require predictable standards of conduct that reduce uncertainty and prevent symbolic misunderstandings. Diplomatic protocol governs: </w:t>
      </w:r>
    </w:p>
    <w:p w14:paraId="66C542C6" w14:textId="77777777" w:rsidR="00735791" w:rsidRDefault="00000000">
      <w:pPr>
        <w:numPr>
          <w:ilvl w:val="0"/>
          <w:numId w:val="3"/>
        </w:numPr>
        <w:spacing w:after="35"/>
        <w:ind w:right="0" w:hanging="360"/>
      </w:pPr>
      <w:r>
        <w:t xml:space="preserve">official state visits;  </w:t>
      </w:r>
    </w:p>
    <w:p w14:paraId="389F92BA" w14:textId="77777777" w:rsidR="00735791" w:rsidRDefault="00000000">
      <w:pPr>
        <w:numPr>
          <w:ilvl w:val="0"/>
          <w:numId w:val="3"/>
        </w:numPr>
        <w:spacing w:after="35"/>
        <w:ind w:right="0" w:hanging="360"/>
      </w:pPr>
      <w:r>
        <w:t xml:space="preserve">ambassadorial accreditation;  </w:t>
      </w:r>
    </w:p>
    <w:p w14:paraId="5CCCB984" w14:textId="77777777" w:rsidR="00735791" w:rsidRDefault="00000000">
      <w:pPr>
        <w:numPr>
          <w:ilvl w:val="0"/>
          <w:numId w:val="3"/>
        </w:numPr>
        <w:spacing w:after="35"/>
        <w:ind w:right="0" w:hanging="360"/>
      </w:pPr>
      <w:r>
        <w:t xml:space="preserve">treaty signing ceremonies;  </w:t>
      </w:r>
    </w:p>
    <w:p w14:paraId="34F5F5E3" w14:textId="77777777" w:rsidR="00735791" w:rsidRDefault="00000000">
      <w:pPr>
        <w:numPr>
          <w:ilvl w:val="0"/>
          <w:numId w:val="3"/>
        </w:numPr>
        <w:spacing w:after="35"/>
        <w:ind w:right="0" w:hanging="360"/>
      </w:pPr>
      <w:r>
        <w:t xml:space="preserve">diplomatic correspondence;  </w:t>
      </w:r>
    </w:p>
    <w:p w14:paraId="5AE6E5BF" w14:textId="77777777" w:rsidR="00735791" w:rsidRDefault="00000000">
      <w:pPr>
        <w:numPr>
          <w:ilvl w:val="0"/>
          <w:numId w:val="3"/>
        </w:numPr>
        <w:spacing w:after="35"/>
        <w:ind w:right="0" w:hanging="360"/>
      </w:pPr>
      <w:r>
        <w:t xml:space="preserve">presentation of credentials;  </w:t>
      </w:r>
    </w:p>
    <w:p w14:paraId="6708B9E2" w14:textId="77777777" w:rsidR="00735791" w:rsidRDefault="00000000">
      <w:pPr>
        <w:numPr>
          <w:ilvl w:val="0"/>
          <w:numId w:val="3"/>
        </w:numPr>
        <w:spacing w:after="35"/>
        <w:ind w:right="0" w:hanging="360"/>
      </w:pPr>
      <w:r>
        <w:t xml:space="preserve">order of precedence;  </w:t>
      </w:r>
    </w:p>
    <w:p w14:paraId="54D009B6" w14:textId="77777777" w:rsidR="00735791" w:rsidRDefault="00000000">
      <w:pPr>
        <w:numPr>
          <w:ilvl w:val="0"/>
          <w:numId w:val="3"/>
        </w:numPr>
        <w:spacing w:after="35"/>
        <w:ind w:right="0" w:hanging="360"/>
      </w:pPr>
      <w:r>
        <w:t xml:space="preserve">national symbols and flags;  </w:t>
      </w:r>
    </w:p>
    <w:p w14:paraId="4C117990" w14:textId="77777777" w:rsidR="00735791" w:rsidRDefault="00000000">
      <w:pPr>
        <w:numPr>
          <w:ilvl w:val="0"/>
          <w:numId w:val="3"/>
        </w:numPr>
        <w:ind w:right="0" w:hanging="360"/>
      </w:pPr>
      <w:r>
        <w:t xml:space="preserve">ceremonial honours.  </w:t>
      </w:r>
    </w:p>
    <w:p w14:paraId="5571591C" w14:textId="77777777" w:rsidR="00735791" w:rsidRDefault="00000000">
      <w:pPr>
        <w:ind w:left="-5" w:right="0"/>
      </w:pPr>
      <w:r>
        <w:t xml:space="preserve">Compliance with diplomatic protocol demonstrates mutual respect between sovereign states and contributes to peaceful international relations (Berridge, 2015). Even minor protocol violations may create diplomatic tensions or unintended political messages. </w:t>
      </w:r>
    </w:p>
    <w:p w14:paraId="7874722B" w14:textId="77777777" w:rsidR="00735791" w:rsidRDefault="00000000">
      <w:pPr>
        <w:pStyle w:val="Heading1"/>
        <w:numPr>
          <w:ilvl w:val="0"/>
          <w:numId w:val="0"/>
        </w:numPr>
        <w:ind w:left="-5"/>
      </w:pPr>
      <w:r>
        <w:t xml:space="preserve">Protocol and Event Management </w:t>
      </w:r>
    </w:p>
    <w:p w14:paraId="264CC426" w14:textId="77777777" w:rsidR="00735791" w:rsidRDefault="00000000">
      <w:pPr>
        <w:spacing w:after="318"/>
        <w:ind w:left="-5" w:right="0"/>
      </w:pPr>
      <w:r>
        <w:t xml:space="preserve">Corporate and governmental events are strategic communication platforms where organizations publicly construct their identity and legitimacy. Event protocol ensures that official ceremonies reflect organizational values through carefully coordinated procedures involving: </w:t>
      </w:r>
    </w:p>
    <w:p w14:paraId="6A0DA844" w14:textId="77777777" w:rsidR="00735791" w:rsidRDefault="00000000">
      <w:pPr>
        <w:numPr>
          <w:ilvl w:val="0"/>
          <w:numId w:val="4"/>
        </w:numPr>
        <w:spacing w:after="35"/>
        <w:ind w:right="0" w:hanging="360"/>
      </w:pPr>
      <w:r>
        <w:t xml:space="preserve">guest invitations;  </w:t>
      </w:r>
    </w:p>
    <w:p w14:paraId="28FD16F7" w14:textId="77777777" w:rsidR="00735791" w:rsidRDefault="00000000">
      <w:pPr>
        <w:numPr>
          <w:ilvl w:val="0"/>
          <w:numId w:val="4"/>
        </w:numPr>
        <w:spacing w:after="35"/>
        <w:ind w:right="0" w:hanging="360"/>
      </w:pPr>
      <w:r>
        <w:t xml:space="preserve">seating arrangements;  </w:t>
      </w:r>
    </w:p>
    <w:p w14:paraId="1066C88A" w14:textId="77777777" w:rsidR="00735791" w:rsidRDefault="00000000">
      <w:pPr>
        <w:numPr>
          <w:ilvl w:val="0"/>
          <w:numId w:val="4"/>
        </w:numPr>
        <w:spacing w:after="35"/>
        <w:ind w:right="0" w:hanging="360"/>
      </w:pPr>
      <w:r>
        <w:t xml:space="preserve">reception procedures;  </w:t>
      </w:r>
    </w:p>
    <w:p w14:paraId="5228228F" w14:textId="77777777" w:rsidR="00735791" w:rsidRDefault="00000000">
      <w:pPr>
        <w:numPr>
          <w:ilvl w:val="0"/>
          <w:numId w:val="4"/>
        </w:numPr>
        <w:spacing w:after="35"/>
        <w:ind w:right="0" w:hanging="360"/>
      </w:pPr>
      <w:r>
        <w:t xml:space="preserve">order of speeches;  </w:t>
      </w:r>
    </w:p>
    <w:p w14:paraId="68C2AC47" w14:textId="77777777" w:rsidR="00735791" w:rsidRDefault="00000000">
      <w:pPr>
        <w:numPr>
          <w:ilvl w:val="0"/>
          <w:numId w:val="4"/>
        </w:numPr>
        <w:spacing w:after="35"/>
        <w:ind w:right="0" w:hanging="360"/>
      </w:pPr>
      <w:r>
        <w:t xml:space="preserve">award presentations;  </w:t>
      </w:r>
    </w:p>
    <w:p w14:paraId="0F5801F4" w14:textId="77777777" w:rsidR="00735791" w:rsidRDefault="00000000">
      <w:pPr>
        <w:numPr>
          <w:ilvl w:val="0"/>
          <w:numId w:val="4"/>
        </w:numPr>
        <w:spacing w:after="35"/>
        <w:ind w:right="0" w:hanging="360"/>
      </w:pPr>
      <w:r>
        <w:t xml:space="preserve">media management;  </w:t>
      </w:r>
    </w:p>
    <w:p w14:paraId="3E4F9F2B" w14:textId="77777777" w:rsidR="00735791" w:rsidRDefault="00000000">
      <w:pPr>
        <w:numPr>
          <w:ilvl w:val="0"/>
          <w:numId w:val="4"/>
        </w:numPr>
        <w:ind w:right="0" w:hanging="360"/>
      </w:pPr>
      <w:r>
        <w:t xml:space="preserve">executive movement;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t xml:space="preserve">ceremonial symbolism.  </w:t>
      </w:r>
    </w:p>
    <w:p w14:paraId="0F9A10F0" w14:textId="77777777" w:rsidR="00735791" w:rsidRDefault="00000000">
      <w:pPr>
        <w:ind w:left="-5" w:right="0"/>
      </w:pPr>
      <w:r>
        <w:t xml:space="preserve">Well-managed protocol enhances stakeholder confidence, while poorly coordinated events may undermine organizational credibility (Goldblatt, 2018). </w:t>
      </w:r>
    </w:p>
    <w:p w14:paraId="24887246" w14:textId="77777777" w:rsidR="00735791" w:rsidRDefault="00000000">
      <w:pPr>
        <w:pStyle w:val="Heading1"/>
        <w:numPr>
          <w:ilvl w:val="0"/>
          <w:numId w:val="0"/>
        </w:numPr>
        <w:ind w:left="-5"/>
      </w:pPr>
      <w:r>
        <w:t xml:space="preserve">Protocol and Crisis Communication </w:t>
      </w:r>
    </w:p>
    <w:p w14:paraId="2194ABEB" w14:textId="77777777" w:rsidR="00735791" w:rsidRDefault="00000000">
      <w:pPr>
        <w:spacing w:after="318"/>
        <w:ind w:left="-5" w:right="0"/>
      </w:pPr>
      <w:r>
        <w:t xml:space="preserve">Crisis situations require rapid yet carefully coordinated communication. Protocol provides standardized procedures that reduce uncertainty during emergencies by defining: </w:t>
      </w:r>
    </w:p>
    <w:p w14:paraId="5F940A98" w14:textId="77777777" w:rsidR="00735791" w:rsidRDefault="00000000">
      <w:pPr>
        <w:numPr>
          <w:ilvl w:val="0"/>
          <w:numId w:val="5"/>
        </w:numPr>
        <w:spacing w:after="35"/>
        <w:ind w:right="0" w:hanging="360"/>
      </w:pPr>
      <w:r>
        <w:t xml:space="preserve">communication hierarchy;  </w:t>
      </w:r>
    </w:p>
    <w:p w14:paraId="4D675A36" w14:textId="77777777" w:rsidR="00735791" w:rsidRDefault="00000000">
      <w:pPr>
        <w:numPr>
          <w:ilvl w:val="0"/>
          <w:numId w:val="5"/>
        </w:numPr>
        <w:ind w:right="0" w:hanging="360"/>
      </w:pPr>
      <w:r>
        <w:t xml:space="preserve">spokesperson authorization;  </w:t>
      </w:r>
    </w:p>
    <w:p w14:paraId="10FCA02A" w14:textId="77777777" w:rsidR="00735791" w:rsidRDefault="00000000">
      <w:pPr>
        <w:numPr>
          <w:ilvl w:val="0"/>
          <w:numId w:val="5"/>
        </w:numPr>
        <w:spacing w:after="35"/>
        <w:ind w:right="0" w:hanging="360"/>
      </w:pPr>
      <w:r>
        <w:t xml:space="preserve">approval procedures;  </w:t>
      </w:r>
    </w:p>
    <w:p w14:paraId="469916DE" w14:textId="77777777" w:rsidR="00735791" w:rsidRDefault="00000000">
      <w:pPr>
        <w:numPr>
          <w:ilvl w:val="0"/>
          <w:numId w:val="5"/>
        </w:numPr>
        <w:spacing w:after="35"/>
        <w:ind w:right="0" w:hanging="360"/>
      </w:pPr>
      <w:r>
        <w:t xml:space="preserve">stakeholder notification;  </w:t>
      </w:r>
    </w:p>
    <w:p w14:paraId="7A0F118B" w14:textId="77777777" w:rsidR="00735791" w:rsidRDefault="00000000">
      <w:pPr>
        <w:numPr>
          <w:ilvl w:val="0"/>
          <w:numId w:val="5"/>
        </w:numPr>
        <w:spacing w:after="35"/>
        <w:ind w:right="0" w:hanging="360"/>
      </w:pPr>
      <w:r>
        <w:t xml:space="preserve">media briefings;  </w:t>
      </w:r>
    </w:p>
    <w:p w14:paraId="2F210BF7" w14:textId="77777777" w:rsidR="00735791" w:rsidRDefault="00000000">
      <w:pPr>
        <w:numPr>
          <w:ilvl w:val="0"/>
          <w:numId w:val="5"/>
        </w:numPr>
        <w:ind w:right="0" w:hanging="360"/>
      </w:pPr>
      <w:r>
        <w:t xml:space="preserve">interagency coordination;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t xml:space="preserve">documentation requirements.  </w:t>
      </w:r>
    </w:p>
    <w:p w14:paraId="21D4CFFC" w14:textId="77777777" w:rsidR="00735791" w:rsidRDefault="00000000">
      <w:pPr>
        <w:ind w:left="-5" w:right="0"/>
      </w:pPr>
      <w:r>
        <w:t xml:space="preserve">According to Coombs (2019), organizations possessing established communication protocols respond more effectively during crises because decision-making responsibilities and communication channels have already been institutionalized. </w:t>
      </w:r>
    </w:p>
    <w:p w14:paraId="7C3BB46F" w14:textId="77777777" w:rsidR="00735791" w:rsidRDefault="00000000">
      <w:pPr>
        <w:pStyle w:val="Heading1"/>
        <w:numPr>
          <w:ilvl w:val="0"/>
          <w:numId w:val="0"/>
        </w:numPr>
        <w:ind w:left="-5"/>
      </w:pPr>
      <w:r>
        <w:t xml:space="preserve">Protocol and Strategic Public Relations </w:t>
      </w:r>
    </w:p>
    <w:p w14:paraId="198607E1" w14:textId="77777777" w:rsidR="00735791" w:rsidRDefault="00000000">
      <w:pPr>
        <w:ind w:left="-5" w:right="0"/>
      </w:pPr>
      <w:r>
        <w:t xml:space="preserve">Strategic public relations seeks to build mutually beneficial relationships between organizations and their stakeholders (Grunig, Grunig, &amp; Dozier, 2002). Protocol contributes directly to this objective by providing structured behavioural frameworks that enhance trust, professionalism, transparency, and institutional legitimacy. </w:t>
      </w:r>
    </w:p>
    <w:p w14:paraId="45E8F876" w14:textId="77777777" w:rsidR="00735791" w:rsidRDefault="00000000">
      <w:pPr>
        <w:ind w:left="-5" w:right="0"/>
      </w:pPr>
      <w:r>
        <w:t xml:space="preserve">Protocol therefore functions as both a communication management system and a reputationbuilding mechanism that strengthens long-term stakeholder relationships. </w:t>
      </w:r>
    </w:p>
    <w:p w14:paraId="1590A9C7" w14:textId="77777777" w:rsidR="00735791" w:rsidRDefault="00000000">
      <w:pPr>
        <w:pStyle w:val="Heading1"/>
        <w:ind w:left="225" w:hanging="240"/>
      </w:pPr>
      <w:r>
        <w:t xml:space="preserve">Methodological Approaches to Studying Protocol </w:t>
      </w:r>
    </w:p>
    <w:p w14:paraId="69CDE1C6" w14:textId="77777777" w:rsidR="00735791" w:rsidRDefault="00000000">
      <w:pPr>
        <w:pStyle w:val="Heading2"/>
        <w:ind w:left="345" w:hanging="360"/>
      </w:pPr>
      <w:r>
        <w:t xml:space="preserve">Conceptual Frameworks and Operational Definitions </w:t>
      </w:r>
    </w:p>
    <w:p w14:paraId="1A5B68C3" w14:textId="77777777" w:rsidR="00735791" w:rsidRDefault="00000000">
      <w:pPr>
        <w:ind w:left="-5" w:right="0"/>
      </w:pPr>
      <w:r>
        <w:t xml:space="preserve">Although protocol has traditionally been viewed as a practical administrative activity, contemporary scholarship increasingly recognizes it as a strategic communication phenomenon requiring rigorous theoretical investigation. Future research should therefore adopt multidisciplinary conceptual frameworks capable of explaining how protocol influences organizational communication, stakeholder perceptions, institutional legitimacy, and reputation management. </w:t>
      </w:r>
    </w:p>
    <w:p w14:paraId="3FCEAFAC" w14:textId="77777777" w:rsidR="00735791" w:rsidRDefault="00000000">
      <w:pPr>
        <w:pStyle w:val="Heading1"/>
        <w:ind w:left="225" w:hanging="240"/>
      </w:pPr>
      <w:r>
        <w:t xml:space="preserve">Excellence Theory </w:t>
      </w:r>
    </w:p>
    <w:p w14:paraId="7736211D" w14:textId="77777777" w:rsidR="00735791" w:rsidRDefault="00000000">
      <w:pPr>
        <w:ind w:left="-5" w:right="0"/>
      </w:pPr>
      <w:r>
        <w:t xml:space="preserve">Developed by Grunig and colleagues, Excellence Theory argues that public relations contributes to organizational effectiveness through strategic, two-way symmetrical communication (Grunig et al., 2002). Protocol supports excellence by promoting orderly communication, professionalism, transparency, and stakeholder trust during official interactions. </w:t>
      </w:r>
    </w:p>
    <w:p w14:paraId="72A1483F" w14:textId="77777777" w:rsidR="00735791" w:rsidRDefault="00000000">
      <w:pPr>
        <w:ind w:left="-5" w:right="0"/>
      </w:pPr>
      <w:r>
        <w:t xml:space="preserve">Relationship Management Theory </w:t>
      </w:r>
    </w:p>
    <w:p w14:paraId="305D9CB0" w14:textId="77777777" w:rsidR="00735791" w:rsidRDefault="00000000">
      <w:pPr>
        <w:ind w:left="-5" w:right="0"/>
      </w:pPr>
      <w:r>
        <w:t xml:space="preserve">Relationship Management Theory views organizational success as dependent upon long-term relationships characterized by trust, commitment, satisfaction, mutual control, and openness (Ledingham &amp; Bruning, 2000). Protocol reinforces these dimensions by ensuring respectful and consistent interactions with stakeholders. </w:t>
      </w:r>
    </w:p>
    <w:p w14:paraId="1250D2E6" w14:textId="77777777" w:rsidR="00735791" w:rsidRDefault="00000000">
      <w:pPr>
        <w:pStyle w:val="Heading1"/>
        <w:numPr>
          <w:ilvl w:val="0"/>
          <w:numId w:val="0"/>
        </w:numPr>
        <w:ind w:left="-5"/>
      </w:pPr>
      <w:r>
        <w:t xml:space="preserve">Systems Theory </w:t>
      </w:r>
    </w:p>
    <w:p w14:paraId="41B7758E" w14:textId="77777777" w:rsidR="00735791" w:rsidRDefault="00000000">
      <w:pPr>
        <w:ind w:left="-5" w:right="0"/>
      </w:pPr>
      <w:r>
        <w:t xml:space="preserve">Systems Theory conceptualizes organizations as open systems continuously interacting with their external environment (Cutlip, Center, &amp; Broom, 2006). Protocol regulates communication across organizational boundaries, facilitating coordinated exchanges with governments, communities, investors, media, and international partners. </w:t>
      </w:r>
    </w:p>
    <w:p w14:paraId="3625A4AC" w14:textId="77777777" w:rsidR="00735791" w:rsidRDefault="00000000">
      <w:pPr>
        <w:pStyle w:val="Heading1"/>
        <w:numPr>
          <w:ilvl w:val="0"/>
          <w:numId w:val="0"/>
        </w:numPr>
        <w:ind w:left="-5"/>
      </w:pPr>
      <w:r>
        <w:t xml:space="preserve">Institutional Theory </w:t>
      </w:r>
    </w:p>
    <w:p w14:paraId="5D2B3D63" w14:textId="77777777" w:rsidR="00735791" w:rsidRDefault="00000000">
      <w:pPr>
        <w:ind w:left="-5" w:right="0"/>
      </w:pPr>
      <w:r>
        <w:t xml:space="preserve">Institutional Theory explains how organizations adopt formal structures and standardized practices to achieve legitimacy within their environments (Scott, 2014). Protocol represents one such institutional mechanism through which organizations demonstrate conformity with accepted professional norms and international standards. </w:t>
      </w:r>
    </w:p>
    <w:p w14:paraId="5EDEF62D" w14:textId="77777777" w:rsidR="00735791" w:rsidRDefault="00000000">
      <w:pPr>
        <w:pStyle w:val="Heading1"/>
        <w:numPr>
          <w:ilvl w:val="0"/>
          <w:numId w:val="0"/>
        </w:numPr>
        <w:ind w:left="-5"/>
      </w:pPr>
      <w:r>
        <w:t xml:space="preserve">Symbolic Interactionism </w:t>
      </w:r>
    </w:p>
    <w:p w14:paraId="2A96F5D0" w14:textId="77777777" w:rsidR="00735791" w:rsidRDefault="00000000">
      <w:pPr>
        <w:ind w:left="-5" w:right="0"/>
      </w:pPr>
      <w:r>
        <w:t xml:space="preserve">Symbolic Interactionism emphasizes the creation of meaning through symbols and social interaction (Blumer, 1969). Protocol relies extensively on symbolic communication—including flags, official attire, seating arrangements, titles, ceremonies, and rituals—to communicate organizational authority, identity, and legitimacy. </w:t>
      </w:r>
    </w:p>
    <w:p w14:paraId="7C6101C1" w14:textId="77777777" w:rsidR="00735791" w:rsidRDefault="00000000">
      <w:pPr>
        <w:pStyle w:val="Heading1"/>
        <w:numPr>
          <w:ilvl w:val="0"/>
          <w:numId w:val="0"/>
        </w:numPr>
        <w:ind w:left="-5"/>
      </w:pPr>
      <w:r>
        <w:t xml:space="preserve">Stakeholder Theory </w:t>
      </w:r>
    </w:p>
    <w:p w14:paraId="308D371C" w14:textId="77777777" w:rsidR="00735791" w:rsidRDefault="00000000">
      <w:pPr>
        <w:ind w:left="-5" w:right="0"/>
      </w:pPr>
      <w:r>
        <w:t xml:space="preserve">Stakeholder Theory proposes that organizations must create value for multiple stakeholder groups rather than focusing exclusively on shareholders (Freeman, 1984). Protocol enhances stakeholder engagement by promoting respectful communication, inclusiveness, fairness, and cultural sensitivity during official interactions. </w:t>
      </w:r>
    </w:p>
    <w:p w14:paraId="3487F986" w14:textId="77777777" w:rsidR="00735791" w:rsidRDefault="00000000">
      <w:pPr>
        <w:pStyle w:val="Heading1"/>
        <w:ind w:left="225" w:hanging="240"/>
      </w:pPr>
      <w:r>
        <w:t xml:space="preserve">Operational Indicators of Protocol Effectiveness </w:t>
      </w:r>
    </w:p>
    <w:p w14:paraId="5F7C670A" w14:textId="77777777" w:rsidR="00735791" w:rsidRDefault="00000000">
      <w:pPr>
        <w:spacing w:after="316"/>
        <w:ind w:left="-5" w:right="0"/>
      </w:pPr>
      <w:r>
        <w:t xml:space="preserve">Researchers seeking to evaluate protocol effectiveness may employ quantitative and qualitative indicators such as: </w:t>
      </w:r>
    </w:p>
    <w:p w14:paraId="4289D0E9" w14:textId="77777777" w:rsidR="00735791" w:rsidRDefault="00000000">
      <w:pPr>
        <w:numPr>
          <w:ilvl w:val="0"/>
          <w:numId w:val="6"/>
        </w:numPr>
        <w:spacing w:after="35"/>
        <w:ind w:right="0" w:hanging="360"/>
      </w:pPr>
      <w:r>
        <w:t xml:space="preserve">Stakeholder satisfaction levels  </w:t>
      </w:r>
    </w:p>
    <w:p w14:paraId="3C205229" w14:textId="77777777" w:rsidR="00735791" w:rsidRDefault="00000000">
      <w:pPr>
        <w:numPr>
          <w:ilvl w:val="0"/>
          <w:numId w:val="6"/>
        </w:numPr>
        <w:spacing w:after="35"/>
        <w:ind w:right="0" w:hanging="360"/>
      </w:pPr>
      <w:r>
        <w:t xml:space="preserve">Communication efficiency  </w:t>
      </w:r>
    </w:p>
    <w:p w14:paraId="3EFCCEBA" w14:textId="77777777" w:rsidR="00735791" w:rsidRDefault="00000000">
      <w:pPr>
        <w:numPr>
          <w:ilvl w:val="0"/>
          <w:numId w:val="6"/>
        </w:numPr>
        <w:spacing w:after="35"/>
        <w:ind w:right="0" w:hanging="360"/>
      </w:pPr>
      <w:r>
        <w:t xml:space="preserve">Organizational legitimacy  </w:t>
      </w:r>
    </w:p>
    <w:p w14:paraId="03939BA0" w14:textId="77777777" w:rsidR="00735791" w:rsidRDefault="00000000">
      <w:pPr>
        <w:numPr>
          <w:ilvl w:val="0"/>
          <w:numId w:val="6"/>
        </w:numPr>
        <w:spacing w:after="35"/>
        <w:ind w:right="0" w:hanging="360"/>
      </w:pPr>
      <w:r>
        <w:t xml:space="preserve">Institutional trust  </w:t>
      </w:r>
    </w:p>
    <w:p w14:paraId="50C60BBC" w14:textId="77777777" w:rsidR="00735791" w:rsidRDefault="00000000">
      <w:pPr>
        <w:numPr>
          <w:ilvl w:val="0"/>
          <w:numId w:val="6"/>
        </w:numPr>
        <w:spacing w:after="35"/>
        <w:ind w:right="0" w:hanging="360"/>
      </w:pPr>
      <w:r>
        <w:t xml:space="preserve">Reputation outcomes  </w:t>
      </w:r>
    </w:p>
    <w:p w14:paraId="58BD177E" w14:textId="77777777" w:rsidR="00735791" w:rsidRDefault="00000000">
      <w:pPr>
        <w:numPr>
          <w:ilvl w:val="0"/>
          <w:numId w:val="6"/>
        </w:numPr>
        <w:spacing w:after="35"/>
        <w:ind w:right="0" w:hanging="360"/>
      </w:pPr>
      <w:r>
        <w:t xml:space="preserve">Compliance with national and international protocol standards  </w:t>
      </w:r>
    </w:p>
    <w:p w14:paraId="693B21B3" w14:textId="77777777" w:rsidR="00735791" w:rsidRDefault="00000000">
      <w:pPr>
        <w:numPr>
          <w:ilvl w:val="0"/>
          <w:numId w:val="6"/>
        </w:numPr>
        <w:spacing w:after="35"/>
        <w:ind w:right="0" w:hanging="360"/>
      </w:pPr>
      <w:r>
        <w:t xml:space="preserve">Quality of official ceremonies  </w:t>
      </w:r>
    </w:p>
    <w:p w14:paraId="1C88C392" w14:textId="77777777" w:rsidR="00735791" w:rsidRDefault="00000000">
      <w:pPr>
        <w:numPr>
          <w:ilvl w:val="0"/>
          <w:numId w:val="6"/>
        </w:numPr>
        <w:spacing w:after="35"/>
        <w:ind w:right="0" w:hanging="360"/>
      </w:pPr>
      <w:r>
        <w:t xml:space="preserve">Event execution effectiveness  </w:t>
      </w:r>
    </w:p>
    <w:p w14:paraId="45C36EF6" w14:textId="77777777" w:rsidR="00735791" w:rsidRDefault="00000000">
      <w:pPr>
        <w:numPr>
          <w:ilvl w:val="0"/>
          <w:numId w:val="6"/>
        </w:numPr>
        <w:spacing w:after="34"/>
        <w:ind w:right="0" w:hanging="360"/>
      </w:pPr>
      <w:r>
        <w:t xml:space="preserve">Crisis communication responsiveness  </w:t>
      </w:r>
    </w:p>
    <w:p w14:paraId="7584B2AC" w14:textId="77777777" w:rsidR="00735791" w:rsidRDefault="00000000">
      <w:pPr>
        <w:numPr>
          <w:ilvl w:val="0"/>
          <w:numId w:val="6"/>
        </w:numPr>
        <w:spacing w:after="35"/>
        <w:ind w:right="0" w:hanging="360"/>
      </w:pPr>
      <w:r>
        <w:t xml:space="preserve">Media perceptions  </w:t>
      </w:r>
    </w:p>
    <w:p w14:paraId="7EC7727B" w14:textId="77777777" w:rsidR="00735791" w:rsidRDefault="00000000">
      <w:pPr>
        <w:numPr>
          <w:ilvl w:val="0"/>
          <w:numId w:val="6"/>
        </w:numPr>
        <w:ind w:right="0" w:hanging="360"/>
      </w:pPr>
      <w:r>
        <w:t xml:space="preserve">Diplomatic relationship quality  </w:t>
      </w:r>
    </w:p>
    <w:p w14:paraId="447FDE95" w14:textId="77777777" w:rsidR="00735791" w:rsidRDefault="00000000">
      <w:pPr>
        <w:numPr>
          <w:ilvl w:val="0"/>
          <w:numId w:val="6"/>
        </w:numPr>
        <w:ind w:right="0" w:hanging="360"/>
      </w:pPr>
      <w:r>
        <w:t xml:space="preserve">Stakeholder engagement outcomes  </w:t>
      </w:r>
    </w:p>
    <w:p w14:paraId="788AC461" w14:textId="77777777" w:rsidR="00735791" w:rsidRDefault="00000000">
      <w:pPr>
        <w:ind w:left="-5" w:right="0"/>
      </w:pPr>
      <w:r>
        <w:t xml:space="preserve">Measurement instruments may include stakeholder surveys, structured interviews, participant observation, document analysis, event evaluations, communication audits, reputation indices, and case study analysis. </w:t>
      </w:r>
    </w:p>
    <w:p w14:paraId="7E9CBDA9" w14:textId="77777777" w:rsidR="00735791" w:rsidRDefault="00000000">
      <w:pPr>
        <w:ind w:left="-5" w:right="0"/>
      </w:pPr>
      <w:r>
        <w:t xml:space="preserve">Future empirical research should also investigate the influence of protocol on digital communication, virtual events, intercultural communication, executive leadership, artificial intelligence-supported event management, and international organizational collaboration. </w:t>
      </w:r>
    </w:p>
    <w:p w14:paraId="5E25097C" w14:textId="77777777" w:rsidR="00735791" w:rsidRDefault="00000000">
      <w:pPr>
        <w:pStyle w:val="Heading1"/>
        <w:ind w:left="225" w:hanging="240"/>
      </w:pPr>
      <w:r>
        <w:t xml:space="preserve">Research Methods </w:t>
      </w:r>
    </w:p>
    <w:p w14:paraId="4DE9B516" w14:textId="77777777" w:rsidR="00735791" w:rsidRDefault="00000000">
      <w:pPr>
        <w:ind w:left="-5" w:right="0"/>
      </w:pPr>
      <w:r>
        <w:t xml:space="preserve">Protocol research is inherently multidisciplinary because it draws on communication studies, public relations, organizational behaviour, political science, sociology, anthropology, and intercultural communication. The selection of an appropriate research method depends on the research objectives, the institutional context, and the nature of the protocol practices under investigation. Since protocol involves both observable behaviours and symbolic communication, researchers often combine qualitative and quantitative approaches to obtain a comprehensive understanding of how protocol influences organizational communication and stakeholder relationships (Creswell &amp; Creswell, 2023). </w:t>
      </w:r>
    </w:p>
    <w:p w14:paraId="19D4DB12" w14:textId="77777777" w:rsidR="00735791" w:rsidRDefault="00000000">
      <w:pPr>
        <w:pStyle w:val="Heading2"/>
        <w:spacing w:after="257"/>
        <w:ind w:left="345" w:hanging="360"/>
      </w:pPr>
      <w:r>
        <w:rPr>
          <w:i/>
        </w:rPr>
        <w:t xml:space="preserve">Qualitative Research Methods </w:t>
      </w:r>
    </w:p>
    <w:p w14:paraId="15E4FF5C" w14:textId="77777777" w:rsidR="00735791" w:rsidRDefault="00000000">
      <w:pPr>
        <w:ind w:left="-5" w:right="0"/>
      </w:pPr>
      <w:r>
        <w:t xml:space="preserve">Qualitative research is particularly valuable for examining the meanings, experiences, and contextual factors associated with protocol practices. It enables researchers to explore how protocol officers, organizational leaders, diplomats, and stakeholders perceive protocol procedures and how these practices influence organizational image and relationship management (Denzin &amp; Lincoln, 2018). </w:t>
      </w:r>
    </w:p>
    <w:p w14:paraId="0D251A48" w14:textId="77777777" w:rsidR="00735791" w:rsidRDefault="00000000">
      <w:pPr>
        <w:ind w:left="-5" w:right="0"/>
      </w:pPr>
      <w:r>
        <w:t xml:space="preserve">Common qualitative approaches include: </w:t>
      </w:r>
    </w:p>
    <w:p w14:paraId="636DF5ED" w14:textId="77777777" w:rsidR="00735791" w:rsidRDefault="00000000">
      <w:pPr>
        <w:ind w:left="-5" w:right="0"/>
      </w:pPr>
      <w:r>
        <w:rPr>
          <w:b/>
        </w:rPr>
        <w:t xml:space="preserve">Case </w:t>
      </w:r>
      <w:r>
        <w:rPr>
          <w:b/>
        </w:rPr>
        <w:tab/>
        <w:t>Studies:</w:t>
      </w:r>
      <w:r>
        <w:t xml:space="preserve"> Case study research provides an in-depth examination of protocol implementation within specific organizations, government institutions, multinational corporations, or international events. Researchers may investigate how protocol contributes to the success or failure of high-profile events such as presidential inaugurations, diplomatic summits, corporate annual general meetings, or international conferences. Case studies facilitate a detailed understanding of institutional processes and contextual factors influencing protocol effectiveness (Yin, 2018). </w:t>
      </w:r>
    </w:p>
    <w:p w14:paraId="0C8060AA" w14:textId="77777777" w:rsidR="00735791" w:rsidRDefault="00000000">
      <w:pPr>
        <w:spacing w:after="0" w:line="259" w:lineRule="auto"/>
        <w:ind w:left="-5" w:right="0"/>
        <w:jc w:val="left"/>
      </w:pPr>
      <w:r>
        <w:rPr>
          <w:b/>
        </w:rPr>
        <w:t>Interviews:</w:t>
      </w:r>
      <w:r>
        <w:t xml:space="preserve"> </w:t>
      </w:r>
    </w:p>
    <w:p w14:paraId="34090BE3" w14:textId="77777777" w:rsidR="00735791" w:rsidRDefault="00000000">
      <w:pPr>
        <w:ind w:left="-5" w:right="0"/>
      </w:pPr>
      <w:r>
        <w:t xml:space="preserve">Semi-structured and in-depth interviews allow researchers to collect detailed information from protocol officers, public relations practitioners, government officials, event managers, and organizational executives. Interviews provide insights into decision-making processes, protocol challenges, ethical dilemmas, and the strategic importance of protocol in managing institutional relationships (Kvale &amp; Brinkmann, 2015). </w:t>
      </w:r>
    </w:p>
    <w:p w14:paraId="5A19CACC" w14:textId="77777777" w:rsidR="00735791" w:rsidRDefault="00000000">
      <w:pPr>
        <w:tabs>
          <w:tab w:val="right" w:pos="9366"/>
        </w:tabs>
        <w:spacing w:after="0" w:line="259" w:lineRule="auto"/>
        <w:ind w:left="-15" w:right="0" w:firstLine="0"/>
        <w:jc w:val="left"/>
      </w:pPr>
      <w:r>
        <w:rPr>
          <w:b/>
        </w:rPr>
        <w:t xml:space="preserve">Participant </w:t>
      </w:r>
      <w:r>
        <w:rPr>
          <w:b/>
        </w:rPr>
        <w:tab/>
        <w:t>Observation:</w:t>
      </w:r>
      <w:r>
        <w:t xml:space="preserve"> </w:t>
      </w:r>
    </w:p>
    <w:p w14:paraId="2A85CAF4" w14:textId="77777777" w:rsidR="00735791" w:rsidRDefault="00000000">
      <w:pPr>
        <w:ind w:left="-5" w:right="0"/>
      </w:pPr>
      <w:r>
        <w:t xml:space="preserve">Participant observation enables researchers to directly observe protocol practices during official ceremonies, conferences, diplomatic visits, board meetings, and organizational events. This method captures actual behaviour rather than relying solely on participants' descriptions, thereby increasing the authenticity and richness of research findings (Spradley, 2016). </w:t>
      </w:r>
    </w:p>
    <w:p w14:paraId="69C7BA1F" w14:textId="77777777" w:rsidR="00735791" w:rsidRDefault="00000000">
      <w:pPr>
        <w:tabs>
          <w:tab w:val="right" w:pos="9366"/>
        </w:tabs>
        <w:spacing w:after="0" w:line="259" w:lineRule="auto"/>
        <w:ind w:left="-15" w:right="0" w:firstLine="0"/>
        <w:jc w:val="left"/>
      </w:pPr>
      <w:r>
        <w:rPr>
          <w:b/>
        </w:rPr>
        <w:t xml:space="preserve">Document </w:t>
      </w:r>
      <w:r>
        <w:rPr>
          <w:b/>
        </w:rPr>
        <w:tab/>
        <w:t>Analysis:</w:t>
      </w:r>
      <w:r>
        <w:t xml:space="preserve"> </w:t>
      </w:r>
    </w:p>
    <w:p w14:paraId="2E3C1C0B" w14:textId="77777777" w:rsidR="00735791" w:rsidRDefault="00000000">
      <w:pPr>
        <w:ind w:left="-5" w:right="0"/>
      </w:pPr>
      <w:r>
        <w:t xml:space="preserve">Protocol research frequently involves the systematic examination of official documents such as protocol manuals, diplomatic guidelines, organizational policies, event programmes, seating plans, ceremonial scripts, government regulations, and corporate communication strategies. Document analysis helps researchers understand institutional expectations, procedural standards, and communication norms governing official interactions (Bowen, 2009). </w:t>
      </w:r>
    </w:p>
    <w:p w14:paraId="530C913C" w14:textId="77777777" w:rsidR="00735791" w:rsidRDefault="00000000">
      <w:pPr>
        <w:spacing w:after="0" w:line="259" w:lineRule="auto"/>
        <w:ind w:left="-5" w:right="0"/>
        <w:jc w:val="left"/>
      </w:pPr>
      <w:r>
        <w:rPr>
          <w:b/>
        </w:rPr>
        <w:t>Ethnography:</w:t>
      </w:r>
      <w:r>
        <w:t xml:space="preserve"> </w:t>
      </w:r>
    </w:p>
    <w:p w14:paraId="242C9054" w14:textId="77777777" w:rsidR="00735791" w:rsidRDefault="00000000">
      <w:pPr>
        <w:ind w:left="-5" w:right="0"/>
      </w:pPr>
      <w:r>
        <w:t xml:space="preserve">Ethnographic studies immerse researchers within organizations or communities over extended periods to understand how protocol practices are embedded in organizational culture. This approach is particularly useful for studying traditional institutions, diplomatic missions, multinational organizations, and culturally diverse workplaces where protocol reflects deeply rooted social values and institutional identities (Hammersley &amp; Atkinson, 2019). </w:t>
      </w:r>
    </w:p>
    <w:p w14:paraId="5CA99EB6" w14:textId="77777777" w:rsidR="00735791" w:rsidRDefault="00000000">
      <w:pPr>
        <w:pStyle w:val="Heading2"/>
        <w:spacing w:after="257"/>
        <w:ind w:left="345" w:hanging="360"/>
      </w:pPr>
      <w:r>
        <w:rPr>
          <w:i/>
        </w:rPr>
        <w:t xml:space="preserve">Quantitative Research Methods </w:t>
      </w:r>
    </w:p>
    <w:p w14:paraId="723A8ECC" w14:textId="77777777" w:rsidR="00735791" w:rsidRDefault="00000000">
      <w:pPr>
        <w:ind w:left="-5" w:right="0"/>
      </w:pPr>
      <w:r>
        <w:t xml:space="preserve">Quantitative research provides measurable evidence regarding the effectiveness of protocol practices and their influence on organizational performance. Statistical analyses allow researchers to identify patterns, relationships, and predictive factors associated with protocol implementation (Bryman, 2016). </w:t>
      </w:r>
    </w:p>
    <w:p w14:paraId="4B850A6A" w14:textId="77777777" w:rsidR="00735791" w:rsidRDefault="00000000">
      <w:pPr>
        <w:ind w:left="-5" w:right="0"/>
      </w:pPr>
      <w:r>
        <w:t xml:space="preserve">Common quantitative methods include: </w:t>
      </w:r>
    </w:p>
    <w:p w14:paraId="49ED6A56" w14:textId="77777777" w:rsidR="00735791" w:rsidRDefault="00000000">
      <w:pPr>
        <w:spacing w:after="0" w:line="259" w:lineRule="auto"/>
        <w:ind w:left="-5" w:right="0"/>
        <w:jc w:val="left"/>
      </w:pPr>
      <w:r>
        <w:rPr>
          <w:b/>
        </w:rPr>
        <w:t>Surveys:</w:t>
      </w:r>
      <w:r>
        <w:t xml:space="preserve"> </w:t>
      </w:r>
    </w:p>
    <w:p w14:paraId="34153950" w14:textId="77777777" w:rsidR="00735791" w:rsidRDefault="00000000">
      <w:pPr>
        <w:ind w:left="-5" w:right="0"/>
      </w:pPr>
      <w:r>
        <w:t xml:space="preserve">Surveys are widely used to measure stakeholder perceptions of protocol effectiveness, professionalism, organizational credibility, event quality, and institutional reputation. Structured questionnaires administered to employees, clients, government officials, investors, or members of the public generate numerical data suitable for statistical analysis (Creswell &amp; Creswell, 2023). </w:t>
      </w:r>
    </w:p>
    <w:p w14:paraId="2D448443" w14:textId="77777777" w:rsidR="00735791" w:rsidRDefault="00000000">
      <w:pPr>
        <w:spacing w:after="254" w:line="259" w:lineRule="auto"/>
        <w:ind w:left="0" w:right="0" w:firstLine="0"/>
        <w:jc w:val="left"/>
      </w:pPr>
      <w:r>
        <w:rPr>
          <w:b/>
        </w:rPr>
        <w:t xml:space="preserve"> </w:t>
      </w:r>
    </w:p>
    <w:p w14:paraId="3892BBC8" w14:textId="77777777" w:rsidR="00735791" w:rsidRDefault="00000000">
      <w:pPr>
        <w:spacing w:after="88" w:line="259" w:lineRule="auto"/>
        <w:ind w:left="-5" w:right="0"/>
        <w:jc w:val="left"/>
      </w:pPr>
      <w:r>
        <w:rPr>
          <w:b/>
        </w:rPr>
        <w:t xml:space="preserve">Experimental Studies: </w:t>
      </w:r>
    </w:p>
    <w:p w14:paraId="703ABF65" w14:textId="77777777" w:rsidR="00735791" w:rsidRDefault="00000000">
      <w:pPr>
        <w:spacing w:after="163" w:line="259" w:lineRule="auto"/>
        <w:ind w:left="0" w:right="0" w:firstLine="0"/>
        <w:jc w:val="left"/>
      </w:pPr>
      <w:r>
        <w:rPr>
          <w:sz w:val="6"/>
        </w:rPr>
        <w:t xml:space="preserve"> </w:t>
      </w:r>
    </w:p>
    <w:p w14:paraId="18CD7A6F" w14:textId="77777777" w:rsidR="00735791" w:rsidRDefault="00000000">
      <w:pPr>
        <w:ind w:left="-5" w:right="0"/>
      </w:pPr>
      <w:r>
        <w:t xml:space="preserve">Experimental research investigates the causal effects of protocol variables on stakeholder attitudes and behaviour. For example, researchers may compare stakeholder responses to organizations that apply formal protocol procedures with those that adopt informal approaches in official events or public communication. Such studies help establish whether protocol directly influences trust, credibility, or organizational legitimacy (Neuman, 2014). </w:t>
      </w:r>
    </w:p>
    <w:p w14:paraId="1DDEA7CD" w14:textId="77777777" w:rsidR="00735791" w:rsidRDefault="00000000">
      <w:pPr>
        <w:spacing w:after="69" w:line="259" w:lineRule="auto"/>
        <w:ind w:left="-5" w:right="0"/>
        <w:jc w:val="left"/>
      </w:pPr>
      <w:r>
        <w:rPr>
          <w:b/>
        </w:rPr>
        <w:t xml:space="preserve">Organizational Assessments: </w:t>
      </w:r>
    </w:p>
    <w:p w14:paraId="01D83526" w14:textId="77777777" w:rsidR="00735791" w:rsidRDefault="00000000">
      <w:pPr>
        <w:spacing w:after="182" w:line="259" w:lineRule="auto"/>
        <w:ind w:left="0" w:right="0" w:firstLine="0"/>
        <w:jc w:val="left"/>
      </w:pPr>
      <w:r>
        <w:rPr>
          <w:sz w:val="4"/>
        </w:rPr>
        <w:t xml:space="preserve"> </w:t>
      </w:r>
    </w:p>
    <w:p w14:paraId="5E7BA5D4" w14:textId="77777777" w:rsidR="00735791" w:rsidRDefault="00000000">
      <w:pPr>
        <w:ind w:left="-5" w:right="0"/>
      </w:pPr>
      <w:r>
        <w:t xml:space="preserve">Organizations increasingly conduct protocol audits and internal assessments to evaluate compliance with established standards, identify procedural gaps, and improve operational efficiency. Assessment instruments may examine areas such as visitor management, ceremonial procedures, executive protocol, communication flow, and event coordination (Institute of Directors, 2020). </w:t>
      </w:r>
    </w:p>
    <w:p w14:paraId="4895AA9B" w14:textId="77777777" w:rsidR="00735791" w:rsidRDefault="00000000">
      <w:pPr>
        <w:spacing w:after="0" w:line="259" w:lineRule="auto"/>
        <w:ind w:left="-5" w:right="0"/>
        <w:jc w:val="left"/>
      </w:pPr>
      <w:r>
        <w:rPr>
          <w:b/>
        </w:rPr>
        <w:t xml:space="preserve">Stakeholder Perception Analysis: </w:t>
      </w:r>
    </w:p>
    <w:p w14:paraId="30BEDF11" w14:textId="77777777" w:rsidR="00735791" w:rsidRDefault="00000000">
      <w:pPr>
        <w:spacing w:after="0" w:line="259" w:lineRule="auto"/>
        <w:ind w:left="0" w:right="0" w:firstLine="0"/>
        <w:jc w:val="left"/>
      </w:pPr>
      <w:r>
        <w:t xml:space="preserve"> </w:t>
      </w:r>
    </w:p>
    <w:p w14:paraId="25805217" w14:textId="77777777" w:rsidR="00735791" w:rsidRDefault="00000000">
      <w:pPr>
        <w:ind w:left="-5" w:right="0"/>
      </w:pPr>
      <w:r>
        <w:t xml:space="preserve">Researchers often employ statistical techniques—including descriptive statistics, correlation analysis, regression analysis, structural equation modelling, and factor analysis—to examine how protocol practices influence stakeholder satisfaction, organizational trust, reputation, and relationship quality (Hair et al., 2022). </w:t>
      </w:r>
    </w:p>
    <w:p w14:paraId="46D9F7B3" w14:textId="77777777" w:rsidR="00735791" w:rsidRDefault="00000000">
      <w:pPr>
        <w:pStyle w:val="Heading2"/>
        <w:spacing w:after="257"/>
        <w:ind w:left="345" w:hanging="360"/>
      </w:pPr>
      <w:r>
        <w:rPr>
          <w:i/>
        </w:rPr>
        <w:t xml:space="preserve">Mixed-Methods Research </w:t>
      </w:r>
    </w:p>
    <w:p w14:paraId="33006279" w14:textId="77777777" w:rsidR="00735791" w:rsidRDefault="00000000">
      <w:pPr>
        <w:ind w:left="-5" w:right="0"/>
      </w:pPr>
      <w:r>
        <w:t xml:space="preserve">Many contemporary scholars advocate mixed-methods research because protocol combines both measurable organizational behaviours and complex symbolic communication. Integrating qualitative and quantitative approaches enables researchers to triangulate findings, thereby enhancing the credibility, validity, and comprehensiveness of research outcomes (Creswell &amp; Plano Clark, 2018). </w:t>
      </w:r>
    </w:p>
    <w:p w14:paraId="30CE8AA2" w14:textId="77777777" w:rsidR="00735791" w:rsidRDefault="00000000">
      <w:pPr>
        <w:ind w:left="-5" w:right="0"/>
      </w:pPr>
      <w:r>
        <w:t xml:space="preserve">For instance, researchers may begin with interviews to identify emerging protocol issues and subsequently design surveys to determine the prevalence of those issues across larger populations. This integration provides both contextual understanding and statistical generalizability, making mixed-methods research particularly suitable for protocol studies in public relations and organizational communication. </w:t>
      </w:r>
    </w:p>
    <w:p w14:paraId="7EA9380C" w14:textId="77777777" w:rsidR="00735791" w:rsidRDefault="00000000">
      <w:pPr>
        <w:pStyle w:val="Heading1"/>
        <w:ind w:left="225" w:hanging="240"/>
      </w:pPr>
      <w:r>
        <w:t xml:space="preserve">Ethical Considerations </w:t>
      </w:r>
    </w:p>
    <w:p w14:paraId="3CD82456" w14:textId="77777777" w:rsidR="00735791" w:rsidRDefault="00000000">
      <w:pPr>
        <w:ind w:left="-5" w:right="0"/>
      </w:pPr>
      <w:r>
        <w:t xml:space="preserve">Ethical considerations are fundamental to protocol research because protocol frequently involves confidential governmental affairs, executive decision-making, diplomatic engagements, and sensitive organizational information. Researchers must therefore adhere to internationally accepted research ethics while respecting institutional confidentiality and cultural diversity (American Psychological Association [APA], 2020). </w:t>
      </w:r>
    </w:p>
    <w:p w14:paraId="4AF6DA5F" w14:textId="77777777" w:rsidR="00735791" w:rsidRDefault="00000000">
      <w:pPr>
        <w:ind w:left="-5" w:right="0"/>
      </w:pPr>
      <w:r>
        <w:t xml:space="preserve">Key ethical principles include: </w:t>
      </w:r>
    </w:p>
    <w:p w14:paraId="7B245443" w14:textId="77777777" w:rsidR="00735791" w:rsidRDefault="00000000">
      <w:pPr>
        <w:spacing w:after="0" w:line="259" w:lineRule="auto"/>
        <w:ind w:left="-5" w:right="0"/>
        <w:jc w:val="left"/>
      </w:pPr>
      <w:r>
        <w:rPr>
          <w:b/>
        </w:rPr>
        <w:t>Confidentiality:</w:t>
      </w:r>
      <w:r>
        <w:t xml:space="preserve"> </w:t>
      </w:r>
    </w:p>
    <w:p w14:paraId="3BC181CE" w14:textId="77777777" w:rsidR="00735791" w:rsidRDefault="00000000">
      <w:pPr>
        <w:ind w:left="-5" w:right="0"/>
      </w:pPr>
      <w:r>
        <w:t xml:space="preserve">Researchers must protect confidential organizational information, diplomatic correspondence, strategic communication documents, and personal identities. Information obtained during interviews or observations should not be disclosed without appropriate authorization, and data should be securely stored to prevent unauthorized access (APA, 2020). </w:t>
      </w:r>
    </w:p>
    <w:p w14:paraId="099D923B" w14:textId="77777777" w:rsidR="00735791" w:rsidRDefault="00000000">
      <w:pPr>
        <w:spacing w:after="0" w:line="259" w:lineRule="auto"/>
        <w:ind w:left="-5" w:right="0"/>
        <w:jc w:val="left"/>
      </w:pPr>
      <w:r>
        <w:rPr>
          <w:b/>
        </w:rPr>
        <w:t xml:space="preserve">Diplomatic Sensitivity: </w:t>
      </w:r>
    </w:p>
    <w:p w14:paraId="7CFFA577" w14:textId="77777777" w:rsidR="00735791" w:rsidRDefault="00000000">
      <w:pPr>
        <w:spacing w:after="0" w:line="259" w:lineRule="auto"/>
        <w:ind w:left="0" w:right="0" w:firstLine="0"/>
        <w:jc w:val="left"/>
      </w:pPr>
      <w:r>
        <w:t xml:space="preserve"> </w:t>
      </w:r>
    </w:p>
    <w:p w14:paraId="767BC3BB" w14:textId="77777777" w:rsidR="00735791" w:rsidRDefault="00000000">
      <w:pPr>
        <w:ind w:left="-5" w:right="0"/>
      </w:pPr>
      <w:r>
        <w:t xml:space="preserve">Protocol research often involves governmental agencies, embassies, international organizations, and multinational corporations where disclosure of sensitive information may have political or diplomatic consequences. Researchers must exercise discretion and avoid compromising institutional or national interests (United Nations, 2019). </w:t>
      </w:r>
    </w:p>
    <w:p w14:paraId="0510E6BB" w14:textId="77777777" w:rsidR="00735791" w:rsidRDefault="00000000">
      <w:pPr>
        <w:spacing w:after="0" w:line="259" w:lineRule="auto"/>
        <w:ind w:left="-5" w:right="0"/>
        <w:jc w:val="left"/>
      </w:pPr>
      <w:r>
        <w:rPr>
          <w:b/>
        </w:rPr>
        <w:t xml:space="preserve">Cultural Diversity: </w:t>
      </w:r>
    </w:p>
    <w:p w14:paraId="747048E8" w14:textId="77777777" w:rsidR="00735791" w:rsidRDefault="00000000">
      <w:pPr>
        <w:spacing w:after="0" w:line="259" w:lineRule="auto"/>
        <w:ind w:left="0" w:right="0" w:firstLine="0"/>
        <w:jc w:val="left"/>
      </w:pPr>
      <w:r>
        <w:t xml:space="preserve"> </w:t>
      </w:r>
    </w:p>
    <w:p w14:paraId="12A9D63C" w14:textId="77777777" w:rsidR="00735791" w:rsidRDefault="00000000">
      <w:pPr>
        <w:ind w:left="-5" w:right="0"/>
      </w:pPr>
      <w:r>
        <w:t xml:space="preserve">Protocol practices vary considerably across cultures due to differences in customs, traditions, religious beliefs, and social values. Ethical researchers should demonstrate cultural competence, avoid ethnocentric judgments, and interpret protocol practices within their appropriate cultural contexts (Hofstede et al., 2010). </w:t>
      </w:r>
    </w:p>
    <w:p w14:paraId="188C6948" w14:textId="77777777" w:rsidR="00735791" w:rsidRDefault="00000000">
      <w:pPr>
        <w:spacing w:after="0" w:line="259" w:lineRule="auto"/>
        <w:ind w:left="-5" w:right="0"/>
        <w:jc w:val="left"/>
      </w:pPr>
      <w:r>
        <w:rPr>
          <w:b/>
        </w:rPr>
        <w:t xml:space="preserve">Informed Consent: </w:t>
      </w:r>
    </w:p>
    <w:p w14:paraId="5DAFAC72" w14:textId="77777777" w:rsidR="00735791" w:rsidRDefault="00000000">
      <w:pPr>
        <w:spacing w:after="0" w:line="259" w:lineRule="auto"/>
        <w:ind w:left="0" w:right="0" w:firstLine="0"/>
        <w:jc w:val="left"/>
      </w:pPr>
      <w:r>
        <w:t xml:space="preserve"> </w:t>
      </w:r>
    </w:p>
    <w:p w14:paraId="37778195" w14:textId="77777777" w:rsidR="00735791" w:rsidRDefault="00000000">
      <w:pPr>
        <w:ind w:left="-5" w:right="0"/>
      </w:pPr>
      <w:r>
        <w:t xml:space="preserve">Participants should voluntarily agree to participate after receiving clear information regarding the study's purpose, procedures, risks, benefits, confidentiality measures, and their right to withdraw without penalty. Written informed consent remains a cornerstone of ethical research practice (APA, 2020). </w:t>
      </w:r>
    </w:p>
    <w:p w14:paraId="7EB307BE" w14:textId="77777777" w:rsidR="00735791" w:rsidRDefault="00000000">
      <w:pPr>
        <w:spacing w:after="0" w:line="259" w:lineRule="auto"/>
        <w:ind w:left="-5" w:right="0"/>
        <w:jc w:val="left"/>
      </w:pPr>
      <w:r>
        <w:rPr>
          <w:b/>
        </w:rPr>
        <w:t xml:space="preserve">Institutional Approval: </w:t>
      </w:r>
    </w:p>
    <w:p w14:paraId="353D0354" w14:textId="77777777" w:rsidR="00735791" w:rsidRDefault="00000000">
      <w:pPr>
        <w:spacing w:after="0" w:line="259" w:lineRule="auto"/>
        <w:ind w:left="0" w:right="0" w:firstLine="0"/>
        <w:jc w:val="left"/>
      </w:pPr>
      <w:r>
        <w:t xml:space="preserve"> </w:t>
      </w:r>
    </w:p>
    <w:p w14:paraId="00B57860" w14:textId="77777777" w:rsidR="00735791" w:rsidRDefault="00000000">
      <w:pPr>
        <w:ind w:left="-5" w:right="0"/>
      </w:pPr>
      <w:r>
        <w:t xml:space="preserve">Research involving protocol officers, government officials, organizational executives, or confidential institutional processes should receive ethical clearance from relevant institutional review boards (IRBs) or ethics committees before data collection commences (Resnik, 2020). </w:t>
      </w:r>
    </w:p>
    <w:p w14:paraId="4CD79998" w14:textId="77777777" w:rsidR="00735791" w:rsidRDefault="00000000">
      <w:pPr>
        <w:spacing w:after="0" w:line="259" w:lineRule="auto"/>
        <w:ind w:left="-5" w:right="0"/>
        <w:jc w:val="left"/>
      </w:pPr>
      <w:r>
        <w:rPr>
          <w:b/>
        </w:rPr>
        <w:t xml:space="preserve">Political Neutrality: </w:t>
      </w:r>
    </w:p>
    <w:p w14:paraId="062C4832" w14:textId="77777777" w:rsidR="00735791" w:rsidRDefault="00000000">
      <w:pPr>
        <w:spacing w:after="0" w:line="259" w:lineRule="auto"/>
        <w:ind w:left="0" w:right="0" w:firstLine="0"/>
        <w:jc w:val="left"/>
      </w:pPr>
      <w:r>
        <w:t xml:space="preserve"> </w:t>
      </w:r>
    </w:p>
    <w:p w14:paraId="6BDA5B49" w14:textId="77777777" w:rsidR="00735791" w:rsidRDefault="00000000">
      <w:pPr>
        <w:ind w:left="-5" w:right="0"/>
      </w:pPr>
      <w:r>
        <w:t xml:space="preserve">Because protocol frequently intersects with political leadership and governmental institutions, researchers must maintain objectivity and avoid political bias. Findings should be presented impartially, based solely on empirical evidence rather than political affiliations or ideological preferences (Bryman, 2016). </w:t>
      </w:r>
    </w:p>
    <w:p w14:paraId="32ECF768" w14:textId="77777777" w:rsidR="00735791" w:rsidRDefault="00000000">
      <w:pPr>
        <w:ind w:left="-5" w:right="0"/>
      </w:pPr>
      <w:r>
        <w:t xml:space="preserve">Ultimately, ethical protocol research strengthens public confidence in academic scholarship while protecting participants, organizations, and governments from reputational or legal harm. </w:t>
      </w:r>
    </w:p>
    <w:p w14:paraId="47DC1C3C" w14:textId="77777777" w:rsidR="00735791" w:rsidRDefault="00000000">
      <w:pPr>
        <w:pStyle w:val="Heading1"/>
        <w:ind w:left="225" w:hanging="240"/>
      </w:pPr>
      <w:r>
        <w:t xml:space="preserve">Practice and Application </w:t>
      </w:r>
    </w:p>
    <w:p w14:paraId="62340043" w14:textId="77777777" w:rsidR="00735791" w:rsidRDefault="00000000">
      <w:pPr>
        <w:pStyle w:val="Heading2"/>
        <w:ind w:left="345" w:hanging="360"/>
      </w:pPr>
      <w:r>
        <w:t xml:space="preserve">Ceremonial Protocol and Corporate Identity </w:t>
      </w:r>
    </w:p>
    <w:p w14:paraId="7FFAFBB4" w14:textId="77777777" w:rsidR="00735791" w:rsidRDefault="00000000">
      <w:pPr>
        <w:ind w:left="-5" w:right="0"/>
      </w:pPr>
      <w:r>
        <w:t xml:space="preserve">Ceremonial protocol represents one of the most visible expressions of organizational communication. Official ceremonies do far more than commemorate events; they serve as strategic communication platforms through which organizations communicate their values, culture, credibility, professionalism, and institutional legitimacy. Every aspect of a ceremony—including venue selection, seating arrangements, order of precedence, flags, dress code, speeches, introductions, hospitality, and media management—conveys symbolic messages that influence stakeholder perceptions (Cornelissen, 2020). </w:t>
      </w:r>
    </w:p>
    <w:p w14:paraId="5A9721C6" w14:textId="77777777" w:rsidR="00735791" w:rsidRDefault="00000000">
      <w:pPr>
        <w:ind w:left="-5" w:right="0"/>
      </w:pPr>
      <w:r>
        <w:t xml:space="preserve">Unlike written corporate statements, ceremonial events provide tangible experiences through which stakeholders evaluate organizational competence. Well-executed ceremonies reinforce trust, demonstrate attention to detail, and communicate respect for institutional traditions, whereas poorly managed events may damage organizational reputation and diminish stakeholder confidence (Argenti, 2016). </w:t>
      </w:r>
    </w:p>
    <w:p w14:paraId="72F78CA8" w14:textId="77777777" w:rsidR="00735791" w:rsidRDefault="00000000">
      <w:pPr>
        <w:spacing w:after="313"/>
        <w:ind w:left="-5" w:right="0"/>
      </w:pPr>
      <w:r>
        <w:t xml:space="preserve">Examples of ceremonial protocol include: </w:t>
      </w:r>
    </w:p>
    <w:p w14:paraId="1DDC002B" w14:textId="77777777" w:rsidR="00735791" w:rsidRDefault="00000000">
      <w:pPr>
        <w:numPr>
          <w:ilvl w:val="0"/>
          <w:numId w:val="7"/>
        </w:numPr>
        <w:spacing w:after="35"/>
        <w:ind w:right="0" w:hanging="360"/>
      </w:pPr>
      <w:r>
        <w:t xml:space="preserve">Presidential inaugurations and swearing-in ceremonies.  </w:t>
      </w:r>
    </w:p>
    <w:p w14:paraId="1BFF4445" w14:textId="77777777" w:rsidR="00735791" w:rsidRDefault="00000000">
      <w:pPr>
        <w:numPr>
          <w:ilvl w:val="0"/>
          <w:numId w:val="7"/>
        </w:numPr>
        <w:spacing w:after="35"/>
        <w:ind w:right="0" w:hanging="360"/>
      </w:pPr>
      <w:r>
        <w:t xml:space="preserve">Award and recognition ceremonies.  </w:t>
      </w:r>
    </w:p>
    <w:p w14:paraId="2AEACBF5" w14:textId="77777777" w:rsidR="00735791" w:rsidRDefault="00000000">
      <w:pPr>
        <w:numPr>
          <w:ilvl w:val="0"/>
          <w:numId w:val="7"/>
        </w:numPr>
        <w:spacing w:after="34"/>
        <w:ind w:right="0" w:hanging="360"/>
      </w:pPr>
      <w:r>
        <w:t xml:space="preserve">University convocation and matriculation ceremonies.  </w:t>
      </w:r>
    </w:p>
    <w:p w14:paraId="0C9F3506" w14:textId="77777777" w:rsidR="00735791" w:rsidRDefault="00000000">
      <w:pPr>
        <w:numPr>
          <w:ilvl w:val="0"/>
          <w:numId w:val="7"/>
        </w:numPr>
        <w:spacing w:after="35"/>
        <w:ind w:right="0" w:hanging="360"/>
      </w:pPr>
      <w:r>
        <w:t xml:space="preserve">Product launch events.  </w:t>
      </w:r>
    </w:p>
    <w:p w14:paraId="52C1D170" w14:textId="77777777" w:rsidR="00735791" w:rsidRDefault="00000000">
      <w:pPr>
        <w:numPr>
          <w:ilvl w:val="0"/>
          <w:numId w:val="7"/>
        </w:numPr>
        <w:spacing w:after="35"/>
        <w:ind w:right="0" w:hanging="360"/>
      </w:pPr>
      <w:r>
        <w:t xml:space="preserve">Board meetings and annual general meetings.  </w:t>
      </w:r>
    </w:p>
    <w:p w14:paraId="708CA09C" w14:textId="77777777" w:rsidR="00735791" w:rsidRDefault="00000000">
      <w:pPr>
        <w:numPr>
          <w:ilvl w:val="0"/>
          <w:numId w:val="7"/>
        </w:numPr>
        <w:spacing w:after="35"/>
        <w:ind w:right="0" w:hanging="360"/>
      </w:pPr>
      <w:r>
        <w:t xml:space="preserve">Diplomatic and state visits.  </w:t>
      </w:r>
    </w:p>
    <w:p w14:paraId="5DFA623A" w14:textId="77777777" w:rsidR="00735791" w:rsidRDefault="00000000">
      <w:pPr>
        <w:numPr>
          <w:ilvl w:val="0"/>
          <w:numId w:val="7"/>
        </w:numPr>
        <w:spacing w:after="35"/>
        <w:ind w:right="0" w:hanging="360"/>
      </w:pPr>
      <w:r>
        <w:t xml:space="preserve">Corporate anniversaries and jubilees.  </w:t>
      </w:r>
    </w:p>
    <w:p w14:paraId="69973817" w14:textId="77777777" w:rsidR="00735791" w:rsidRDefault="00000000">
      <w:pPr>
        <w:numPr>
          <w:ilvl w:val="0"/>
          <w:numId w:val="7"/>
        </w:numPr>
        <w:spacing w:after="35"/>
        <w:ind w:right="0" w:hanging="360"/>
      </w:pPr>
      <w:r>
        <w:t xml:space="preserve">International conferences and summits.  </w:t>
      </w:r>
    </w:p>
    <w:p w14:paraId="694FAF35" w14:textId="77777777" w:rsidR="00735791" w:rsidRDefault="00000000">
      <w:pPr>
        <w:numPr>
          <w:ilvl w:val="0"/>
          <w:numId w:val="7"/>
        </w:numPr>
        <w:spacing w:after="35"/>
        <w:ind w:right="0" w:hanging="360"/>
      </w:pPr>
      <w:r>
        <w:t xml:space="preserve">Memorandum of Understanding (MoU) signing ceremonies.  </w:t>
      </w:r>
    </w:p>
    <w:p w14:paraId="310170D4" w14:textId="77777777" w:rsidR="00735791" w:rsidRDefault="00000000">
      <w:pPr>
        <w:numPr>
          <w:ilvl w:val="0"/>
          <w:numId w:val="7"/>
        </w:numPr>
        <w:ind w:right="0" w:hanging="360"/>
      </w:pPr>
      <w:r>
        <w:t xml:space="preserve">Official commissioning of infrastructure projects.  </w:t>
      </w:r>
    </w:p>
    <w:p w14:paraId="1F523010" w14:textId="77777777" w:rsidR="00735791" w:rsidRDefault="00000000">
      <w:pPr>
        <w:ind w:left="-5" w:right="0"/>
      </w:pPr>
      <w:r>
        <w:t xml:space="preserve">Each of these events reflects organizational identity through carefully coordinated protocol procedures. In higher education institutions, for example, academic gowns, processions, mace bearers, and the sequence of official speeches symbolize institutional heritage and academic excellence. Similarly, multinational corporations employ standardized protocol during shareholder meetings and international product launches to project consistency and reinforce global brand identity (Cornelissen, 2020). </w:t>
      </w:r>
    </w:p>
    <w:p w14:paraId="2F0A8E62" w14:textId="77777777" w:rsidR="00735791" w:rsidRDefault="00000000">
      <w:pPr>
        <w:ind w:left="-5" w:right="0"/>
      </w:pPr>
      <w:r>
        <w:t xml:space="preserve">Ceremonial protocol also contributes significantly to corporate branding by creating memorable experiences that stakeholders associate with organizational excellence. Effective ceremonies generate positive media coverage, enhance public visibility, and strengthen emotional connections with internal and external audiences. Consequently, ceremonial protocol has become an integral component of strategic public relations and corporate communication. </w:t>
      </w:r>
    </w:p>
    <w:p w14:paraId="430524C3" w14:textId="77777777" w:rsidR="00735791" w:rsidRDefault="00000000">
      <w:pPr>
        <w:pStyle w:val="Heading2"/>
        <w:ind w:left="345" w:hanging="360"/>
      </w:pPr>
      <w:r>
        <w:t xml:space="preserve">Protocol in Stakeholder Engagement and Reputation Management </w:t>
      </w:r>
    </w:p>
    <w:p w14:paraId="37601A8B" w14:textId="77777777" w:rsidR="00735791" w:rsidRDefault="00000000">
      <w:pPr>
        <w:ind w:left="-5" w:right="0"/>
      </w:pPr>
      <w:r>
        <w:t xml:space="preserve">Stakeholder engagement extends beyond the transmission of organizational messages; it encompasses every interaction through which stakeholders experience the organization. Consequently, protocol serves as a behavioural dimension of communication, demonstrating respect, professionalism, accountability, and inclusiveness during organizational interactions (Freeman et al., 2020). </w:t>
      </w:r>
    </w:p>
    <w:p w14:paraId="7CE707D5" w14:textId="77777777" w:rsidR="00735791" w:rsidRDefault="00000000">
      <w:pPr>
        <w:spacing w:after="315"/>
        <w:ind w:left="-5" w:right="0"/>
      </w:pPr>
      <w:r>
        <w:t xml:space="preserve">Professional protocol strengthens stakeholder relationships by ensuring: </w:t>
      </w:r>
    </w:p>
    <w:p w14:paraId="46245F34" w14:textId="77777777" w:rsidR="00735791" w:rsidRDefault="00000000">
      <w:pPr>
        <w:numPr>
          <w:ilvl w:val="0"/>
          <w:numId w:val="8"/>
        </w:numPr>
        <w:spacing w:after="35"/>
        <w:ind w:right="0" w:hanging="360"/>
      </w:pPr>
      <w:r>
        <w:t xml:space="preserve">respectful engagement with all stakeholders regardless of status;  </w:t>
      </w:r>
    </w:p>
    <w:p w14:paraId="7C652C39" w14:textId="77777777" w:rsidR="00735791" w:rsidRDefault="00000000">
      <w:pPr>
        <w:numPr>
          <w:ilvl w:val="0"/>
          <w:numId w:val="8"/>
        </w:numPr>
        <w:spacing w:after="35"/>
        <w:ind w:right="0" w:hanging="360"/>
      </w:pPr>
      <w:r>
        <w:t xml:space="preserve">appropriate recognition of stakeholder roles and institutional hierarchy;  </w:t>
      </w:r>
    </w:p>
    <w:p w14:paraId="505E7AD8" w14:textId="77777777" w:rsidR="00735791" w:rsidRDefault="00000000">
      <w:pPr>
        <w:numPr>
          <w:ilvl w:val="0"/>
          <w:numId w:val="8"/>
        </w:numPr>
        <w:spacing w:after="35"/>
        <w:ind w:right="0" w:hanging="360"/>
      </w:pPr>
      <w:r>
        <w:t xml:space="preserve">fairness and consistency in official procedures;  </w:t>
      </w:r>
    </w:p>
    <w:p w14:paraId="539B9F49" w14:textId="77777777" w:rsidR="00735791" w:rsidRDefault="00000000">
      <w:pPr>
        <w:numPr>
          <w:ilvl w:val="0"/>
          <w:numId w:val="8"/>
        </w:numPr>
        <w:spacing w:after="35"/>
        <w:ind w:right="0" w:hanging="360"/>
      </w:pPr>
      <w:r>
        <w:t xml:space="preserve">transparency in communication and decision-making;  </w:t>
      </w:r>
    </w:p>
    <w:p w14:paraId="143AA62A" w14:textId="77777777" w:rsidR="00735791" w:rsidRDefault="00000000">
      <w:pPr>
        <w:numPr>
          <w:ilvl w:val="0"/>
          <w:numId w:val="8"/>
        </w:numPr>
        <w:spacing w:after="35"/>
        <w:ind w:right="0" w:hanging="360"/>
      </w:pPr>
      <w:r>
        <w:t xml:space="preserve">courtesy and professionalism during interactions;  </w:t>
      </w:r>
    </w:p>
    <w:p w14:paraId="2905494A" w14:textId="77777777" w:rsidR="00735791" w:rsidRDefault="00000000">
      <w:pPr>
        <w:numPr>
          <w:ilvl w:val="0"/>
          <w:numId w:val="8"/>
        </w:numPr>
        <w:spacing w:after="35"/>
        <w:ind w:right="0" w:hanging="360"/>
      </w:pPr>
      <w:r>
        <w:t xml:space="preserve">effective conflict prevention and resolution;  </w:t>
      </w:r>
    </w:p>
    <w:p w14:paraId="4AD95FEB" w14:textId="77777777" w:rsidR="00735791" w:rsidRDefault="00000000">
      <w:pPr>
        <w:numPr>
          <w:ilvl w:val="0"/>
          <w:numId w:val="8"/>
        </w:numPr>
        <w:ind w:right="0" w:hanging="360"/>
      </w:pPr>
      <w:r>
        <w:t xml:space="preserve">cultural sensitivity during multicultural engagements.  </w:t>
      </w:r>
    </w:p>
    <w:p w14:paraId="10419184" w14:textId="77777777" w:rsidR="00735791" w:rsidRDefault="00000000">
      <w:pPr>
        <w:ind w:left="-5" w:right="0"/>
      </w:pPr>
      <w:r>
        <w:t xml:space="preserve">When stakeholders consistently experience professional treatment, they develop greater confidence in organizational leadership and governance. This trust translates into stronger stakeholder loyalty, improved organizational reputation, and enhanced public legitimacy (Fombrun, Gardberg, &amp; Sever, 2000). </w:t>
      </w:r>
    </w:p>
    <w:p w14:paraId="3E7831F2" w14:textId="77777777" w:rsidR="00735791" w:rsidRDefault="00000000">
      <w:pPr>
        <w:ind w:left="-5" w:right="0"/>
      </w:pPr>
      <w:r>
        <w:t xml:space="preserve">In public relations, protocol complements relationship management theory by reinforcing the quality of organization–public relationships through appropriate communication behaviour rather than communication messages alone. Whether welcoming international delegates, managing investor relations, interacting with regulators, or hosting community engagement programmes, protocol demonstrates organizational commitment to mutual respect and long-term relationship building (Ledingham &amp; Bruning, 2000). </w:t>
      </w:r>
    </w:p>
    <w:p w14:paraId="2420E536" w14:textId="77777777" w:rsidR="00735791" w:rsidRDefault="00000000">
      <w:pPr>
        <w:ind w:left="-5" w:right="0"/>
      </w:pPr>
      <w:r>
        <w:t xml:space="preserve">Furthermore, in today's digital communication environment, protocol extends beyond physical interactions to virtual meetings, webinars, online conferences, and hybrid events. Digital etiquette—including punctuality, appropriate online conduct, respectful communication, cybersecurity awareness, and proper management of virtual events—has become an increasingly important aspect of organizational protocol (Kent &amp; Taylor, 2021). </w:t>
      </w:r>
    </w:p>
    <w:p w14:paraId="1D06095C" w14:textId="77777777" w:rsidR="00735791" w:rsidRDefault="00000000">
      <w:pPr>
        <w:ind w:left="-5" w:right="0"/>
      </w:pPr>
      <w:r>
        <w:t xml:space="preserve">Organizations that consistently apply professional protocol across both physical and digital environments are more likely to be perceived as competent, ethical, reliable, and trustworthy. Such perceptions contribute directly to reputation management, stakeholder satisfaction, and sustainable organizational success. </w:t>
      </w:r>
    </w:p>
    <w:p w14:paraId="0BA1BF81" w14:textId="77777777" w:rsidR="00735791" w:rsidRDefault="00000000">
      <w:pPr>
        <w:pStyle w:val="Heading2"/>
        <w:ind w:left="345" w:hanging="360"/>
      </w:pPr>
      <w:r>
        <w:t xml:space="preserve">Digital and Globalization Implications </w:t>
      </w:r>
    </w:p>
    <w:p w14:paraId="573C6A5D" w14:textId="77777777" w:rsidR="00735791" w:rsidRDefault="00000000">
      <w:pPr>
        <w:ind w:left="-5" w:right="0"/>
      </w:pPr>
      <w:r>
        <w:t xml:space="preserve">The rapid advancement of digital technologies has fundamentally transformed the practice of protocol within public relations. Traditionally, protocol focused primarily on face-to-face interactions, official ceremonies, diplomatic engagements, and physical meetings. However, digital transformation has expanded protocol into virtual environments where communication increasingly occurs through online platforms, social media, videoconferencing applications, and digital collaboration tools. Consequently, protocol is no longer limited to physical settings but now encompasses a comprehensive framework governing professional behaviour in digital communication (Breakenridge, 2018; Coombs &amp; Holladay, 2023). </w:t>
      </w:r>
    </w:p>
    <w:p w14:paraId="43C95BF5" w14:textId="77777777" w:rsidR="00735791" w:rsidRDefault="00000000">
      <w:pPr>
        <w:ind w:left="-5" w:right="0"/>
      </w:pPr>
      <w:r>
        <w:t xml:space="preserve">Virtual protocol now includes several important dimensions that guide professional communication in online environments. These include: </w:t>
      </w:r>
    </w:p>
    <w:p w14:paraId="1ED9AE9B" w14:textId="77777777" w:rsidR="00735791" w:rsidRDefault="00000000">
      <w:pPr>
        <w:numPr>
          <w:ilvl w:val="0"/>
          <w:numId w:val="9"/>
        </w:numPr>
        <w:spacing w:after="19"/>
        <w:ind w:right="0" w:hanging="360"/>
      </w:pPr>
      <w:r>
        <w:rPr>
          <w:rFonts w:ascii="Calibri" w:eastAsia="Calibri" w:hAnsi="Calibri" w:cs="Calibri"/>
          <w:b/>
        </w:rPr>
        <w:t>Online meeting etiquette</w:t>
      </w:r>
      <w:r>
        <w:t xml:space="preserve">, such as appropriate dress codes, punctuality, microphone management, camera positioning, speaking order, and respectful participation during virtual meetings;  </w:t>
      </w:r>
    </w:p>
    <w:p w14:paraId="200C39AA" w14:textId="77777777" w:rsidR="00735791" w:rsidRDefault="00000000">
      <w:pPr>
        <w:numPr>
          <w:ilvl w:val="0"/>
          <w:numId w:val="9"/>
        </w:numPr>
        <w:spacing w:after="0" w:line="298" w:lineRule="auto"/>
        <w:ind w:right="0" w:hanging="360"/>
      </w:pPr>
      <w:r>
        <w:rPr>
          <w:rFonts w:ascii="Calibri" w:eastAsia="Calibri" w:hAnsi="Calibri" w:cs="Calibri"/>
          <w:b/>
        </w:rPr>
        <w:t>Digital precedence</w:t>
      </w:r>
      <w:r>
        <w:t xml:space="preserve">, which determines the order of participation, speaking rights, introduction of dignitaries, and recognition of institutional hierarchy during virtual events;  </w:t>
      </w:r>
    </w:p>
    <w:p w14:paraId="100D01EE" w14:textId="77777777" w:rsidR="00735791" w:rsidRDefault="00000000">
      <w:pPr>
        <w:numPr>
          <w:ilvl w:val="0"/>
          <w:numId w:val="9"/>
        </w:numPr>
        <w:spacing w:after="20"/>
        <w:ind w:right="0" w:hanging="360"/>
      </w:pPr>
      <w:r>
        <w:rPr>
          <w:rFonts w:ascii="Calibri" w:eastAsia="Calibri" w:hAnsi="Calibri" w:cs="Calibri"/>
          <w:b/>
        </w:rPr>
        <w:t>Cybersecurity procedures</w:t>
      </w:r>
      <w:r>
        <w:t xml:space="preserve">, involving secure communication channels, protection of confidential information, identity verification, password management, and compliance with organizational cybersecurity policies;  </w:t>
      </w:r>
    </w:p>
    <w:p w14:paraId="5E0FD2C3" w14:textId="77777777" w:rsidR="00735791" w:rsidRDefault="00000000">
      <w:pPr>
        <w:numPr>
          <w:ilvl w:val="0"/>
          <w:numId w:val="9"/>
        </w:numPr>
        <w:spacing w:after="19"/>
        <w:ind w:right="0" w:hanging="360"/>
      </w:pPr>
      <w:r>
        <w:rPr>
          <w:rFonts w:ascii="Calibri" w:eastAsia="Calibri" w:hAnsi="Calibri" w:cs="Calibri"/>
          <w:b/>
        </w:rPr>
        <w:t>Virtual diplomatic engagement</w:t>
      </w:r>
      <w:r>
        <w:t xml:space="preserve">, including online bilateral and multilateral negotiations, international webinars, virtual summits, digital state visits, and electronic exchange of diplomatic communications;  </w:t>
      </w:r>
    </w:p>
    <w:p w14:paraId="201571BC" w14:textId="77777777" w:rsidR="00735791" w:rsidRDefault="00000000">
      <w:pPr>
        <w:numPr>
          <w:ilvl w:val="0"/>
          <w:numId w:val="9"/>
        </w:numPr>
        <w:spacing w:after="213" w:line="297" w:lineRule="auto"/>
        <w:ind w:right="0" w:hanging="360"/>
      </w:pPr>
      <w:r>
        <w:rPr>
          <w:rFonts w:ascii="Calibri" w:eastAsia="Calibri" w:hAnsi="Calibri" w:cs="Calibri"/>
          <w:b/>
        </w:rPr>
        <w:t>Online ceremonial practices</w:t>
      </w:r>
      <w:r>
        <w:t xml:space="preserve">, such as virtual award ceremonies, inauguration events, official launches, digital signing ceremonies, and livestreamed institutional celebrations.  </w:t>
      </w:r>
    </w:p>
    <w:p w14:paraId="71B90C8A" w14:textId="77777777" w:rsidR="00735791" w:rsidRDefault="00000000">
      <w:pPr>
        <w:ind w:left="-5" w:right="0"/>
      </w:pPr>
      <w:r>
        <w:t xml:space="preserve">These emerging dimensions demonstrate that protocol has evolved from a purely ceremonial function into an essential component of digital governance and strategic communication. During the COVID-19 pandemic, for example, governments, multinational organizations, universities, and corporations rapidly adopted virtual communication platforms while simultaneously developing standardized digital protocol guidelines to maintain professionalism and institutional credibility (OECD, 2021). According to the </w:t>
      </w:r>
      <w:r>
        <w:rPr>
          <w:b/>
        </w:rPr>
        <w:t>Organisation for Economic Co-operation and Development (OECD) (2021)</w:t>
      </w:r>
      <w:r>
        <w:t xml:space="preserve">, digital government communication requires clear procedural standards to ensure transparency, accessibility, information security, and public trust. </w:t>
      </w:r>
    </w:p>
    <w:p w14:paraId="632302C4" w14:textId="77777777" w:rsidR="00735791" w:rsidRDefault="00000000">
      <w:pPr>
        <w:ind w:left="-5" w:right="0"/>
      </w:pPr>
      <w:r>
        <w:t xml:space="preserve">Digital communication also presents new protocol challenges that did not previously exist. Public relations practitioners must manage issues relating to online confidentiality, cyber threats, misinformation, digital etiquette, unauthorized recording of meetings, artificial intelligenceassisted communication, and social media governance. Failure to observe digital protocol may result in reputational damage, data breaches, legal liability, and diminished stakeholder confidence (Coombs &amp; Holladay, 2023). As </w:t>
      </w:r>
      <w:r>
        <w:rPr>
          <w:b/>
        </w:rPr>
        <w:t>Coombs and Holladay (2023)</w:t>
      </w:r>
      <w:r>
        <w:t xml:space="preserve"> observe, effective digital communication depends not only on technological competence but also on adherence to clearly defined communication procedures and ethical standards. </w:t>
      </w:r>
    </w:p>
    <w:p w14:paraId="512E0420" w14:textId="77777777" w:rsidR="00735791" w:rsidRDefault="00000000">
      <w:pPr>
        <w:ind w:left="-5" w:right="0"/>
      </w:pPr>
      <w:r>
        <w:t xml:space="preserve">Globalization has further expanded the importance of protocol by increasing interactions among governments, multinational corporations, international organizations, and culturally diverse stakeholders. Advances in transportation, digital communication, international trade, and global governance have significantly increased cross-border communication, making intercultural protocol an essential component of contemporary public relations practice (Sriramesh &amp; Verčič, 2021). </w:t>
      </w:r>
    </w:p>
    <w:p w14:paraId="6D61212E" w14:textId="77777777" w:rsidR="00735791" w:rsidRDefault="00000000">
      <w:pPr>
        <w:ind w:left="-5" w:right="0"/>
      </w:pPr>
      <w:r>
        <w:t xml:space="preserve">Protocol expectations differ considerably across countries and cultures. Differences may involve forms of greeting, seating arrangements, gift-giving customs, modes of address, negotiation styles, dress codes, religious sensitivities, gender interactions, dining etiquette, ceremonial traditions, and decision-making processes. Behaviours regarded as respectful in one culture may be interpreted differently in another. Consequently, public relations professionals must possess intercultural competence to avoid misunderstandings that could negatively affect organizational relationships and international reputation (Hofstede et al., 2010). </w:t>
      </w:r>
    </w:p>
    <w:p w14:paraId="4242CE95" w14:textId="77777777" w:rsidR="00735791" w:rsidRDefault="00000000">
      <w:pPr>
        <w:ind w:left="-5" w:right="0"/>
      </w:pPr>
      <w:r>
        <w:t xml:space="preserve">For instance, many Asian societies place considerable emphasis on hierarchy, seniority, and formal respect during official engagements, whereas Scandinavian countries often adopt more egalitarian communication styles. Likewise, communication within many Middle Eastern and African cultures frequently incorporates strong elements of hospitality, relationship-building, and respect for traditional authority structures. Understanding these cultural distinctions enables protocol officers and public relations practitioners to design communication strategies that are culturally appropriate while maintaining organizational objectives (Hofstede et al., 2010; Sriramesh &amp; Verčič, 2021). </w:t>
      </w:r>
    </w:p>
    <w:p w14:paraId="17FC0120" w14:textId="77777777" w:rsidR="00735791" w:rsidRDefault="00000000">
      <w:pPr>
        <w:ind w:left="-5" w:right="0"/>
      </w:pPr>
      <w:r>
        <w:t xml:space="preserve">Consequently, contemporary public relations professionals require strong intercultural communication skills alongside traditional protocol knowledge. Such competencies include cultural intelligence, empathy, multilingual communication, negotiation skills, conflict sensitivity, adaptability, and awareness of international diplomatic conventions. These abilities enable practitioners to foster productive stakeholder relationships, facilitate international cooperation, and enhance organizational legitimacy within an increasingly interconnected global environment (Grunig, Grunig, &amp; Dozier, 2002; Sriramesh &amp; Verčič, 2021). </w:t>
      </w:r>
    </w:p>
    <w:p w14:paraId="39C3D7AE" w14:textId="77777777" w:rsidR="00735791" w:rsidRDefault="00000000">
      <w:pPr>
        <w:pStyle w:val="Heading1"/>
        <w:ind w:left="225" w:hanging="240"/>
      </w:pPr>
      <w:r>
        <w:t xml:space="preserve">Case Studies and Empirical Insights </w:t>
      </w:r>
    </w:p>
    <w:p w14:paraId="29360AC0" w14:textId="77777777" w:rsidR="00735791" w:rsidRDefault="00000000">
      <w:pPr>
        <w:ind w:left="-5" w:right="0"/>
      </w:pPr>
      <w:r>
        <w:t xml:space="preserve">Empirical evidence demonstrates that protocol significantly influences organizational communication effectiveness across governmental institutions, multinational corporations, international organizations, and crisis management environments. Numerous case studies indicate that organizations with clearly established protocol systems generally experience greater communication efficiency, stronger stakeholder confidence, improved institutional reputation, and more effective crisis response than organizations lacking standardized procedures (Coombs, 2021; Grunig et al., 2002). The following examples illustrate the practical application of protocol within contemporary public relations. </w:t>
      </w:r>
    </w:p>
    <w:p w14:paraId="194727BE" w14:textId="77777777" w:rsidR="00735791" w:rsidRDefault="00000000">
      <w:pPr>
        <w:pStyle w:val="Heading2"/>
        <w:ind w:left="345" w:hanging="360"/>
      </w:pPr>
      <w:r>
        <w:t xml:space="preserve">Media Relations and Public Affairs </w:t>
      </w:r>
    </w:p>
    <w:p w14:paraId="59CC5C25" w14:textId="77777777" w:rsidR="00735791" w:rsidRDefault="00000000">
      <w:pPr>
        <w:ind w:left="-5" w:right="0"/>
      </w:pPr>
      <w:r>
        <w:t xml:space="preserve">Government ministries, executive offices, public institutions, legislatures, and regulatory agencies rely extensively on protocol when communicating with the media and the general public. Media relations within government are highly structured because official communication frequently influences public opinion, policy implementation, investor confidence, and national reputation (Lee, Neeley, &amp; Stewart, 2012). </w:t>
      </w:r>
    </w:p>
    <w:p w14:paraId="0FF7D328" w14:textId="77777777" w:rsidR="00735791" w:rsidRDefault="00000000">
      <w:pPr>
        <w:spacing w:after="316"/>
        <w:ind w:left="-5" w:right="0"/>
      </w:pPr>
      <w:r>
        <w:t xml:space="preserve">Protocol governs several important public communication activities, including: </w:t>
      </w:r>
    </w:p>
    <w:p w14:paraId="316C6599" w14:textId="77777777" w:rsidR="00735791" w:rsidRDefault="00000000">
      <w:pPr>
        <w:numPr>
          <w:ilvl w:val="0"/>
          <w:numId w:val="10"/>
        </w:numPr>
        <w:spacing w:after="35"/>
        <w:ind w:right="0" w:hanging="360"/>
      </w:pPr>
      <w:r>
        <w:t xml:space="preserve">press conferences;  </w:t>
      </w:r>
    </w:p>
    <w:p w14:paraId="26825DAC" w14:textId="77777777" w:rsidR="00735791" w:rsidRDefault="00000000">
      <w:pPr>
        <w:numPr>
          <w:ilvl w:val="0"/>
          <w:numId w:val="10"/>
        </w:numPr>
        <w:spacing w:after="35"/>
        <w:ind w:right="0" w:hanging="360"/>
      </w:pPr>
      <w:r>
        <w:t xml:space="preserve">official briefings;  </w:t>
      </w:r>
    </w:p>
    <w:p w14:paraId="72506713" w14:textId="77777777" w:rsidR="00735791" w:rsidRDefault="00000000">
      <w:pPr>
        <w:numPr>
          <w:ilvl w:val="0"/>
          <w:numId w:val="10"/>
        </w:numPr>
        <w:spacing w:after="35"/>
        <w:ind w:right="0" w:hanging="360"/>
      </w:pPr>
      <w:r>
        <w:t xml:space="preserve">parliamentary events;  </w:t>
      </w:r>
    </w:p>
    <w:p w14:paraId="118F2AB5" w14:textId="77777777" w:rsidR="00735791" w:rsidRDefault="00000000">
      <w:pPr>
        <w:numPr>
          <w:ilvl w:val="0"/>
          <w:numId w:val="10"/>
        </w:numPr>
        <w:spacing w:after="35"/>
        <w:ind w:right="0" w:hanging="360"/>
      </w:pPr>
      <w:r>
        <w:t xml:space="preserve">policy announcements;  </w:t>
      </w:r>
    </w:p>
    <w:p w14:paraId="3C661D53" w14:textId="77777777" w:rsidR="00735791" w:rsidRDefault="00000000">
      <w:pPr>
        <w:numPr>
          <w:ilvl w:val="0"/>
          <w:numId w:val="10"/>
        </w:numPr>
        <w:spacing w:after="35"/>
        <w:ind w:right="0" w:hanging="360"/>
      </w:pPr>
      <w:r>
        <w:t xml:space="preserve">diplomatic receptions;  </w:t>
      </w:r>
    </w:p>
    <w:p w14:paraId="347FBC24" w14:textId="77777777" w:rsidR="00735791" w:rsidRDefault="00000000">
      <w:pPr>
        <w:numPr>
          <w:ilvl w:val="0"/>
          <w:numId w:val="10"/>
        </w:numPr>
        <w:spacing w:after="32"/>
        <w:ind w:right="0" w:hanging="360"/>
      </w:pPr>
      <w:r>
        <w:t xml:space="preserve">state ceremonies;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t xml:space="preserve">ministerial interviews; and  </w:t>
      </w:r>
    </w:p>
    <w:p w14:paraId="23617364" w14:textId="77777777" w:rsidR="00735791" w:rsidRDefault="00000000">
      <w:pPr>
        <w:numPr>
          <w:ilvl w:val="0"/>
          <w:numId w:val="10"/>
        </w:numPr>
        <w:ind w:right="0" w:hanging="360"/>
      </w:pPr>
      <w:r>
        <w:t xml:space="preserve">emergency media updates.  </w:t>
      </w:r>
    </w:p>
    <w:p w14:paraId="6C9493A6" w14:textId="77777777" w:rsidR="00735791" w:rsidRDefault="00000000">
      <w:pPr>
        <w:ind w:left="-5" w:right="0"/>
      </w:pPr>
      <w:r>
        <w:t xml:space="preserve">During official press conferences, protocol determines the sequence of speakers, seating arrangements, introduction of dignitaries, accreditation of journalists, media access, timing of announcements, and question-and-answer procedures. These standardized practices help maintain order, fairness, transparency, and professionalism throughout official engagements (Lee et al., 2012). </w:t>
      </w:r>
    </w:p>
    <w:p w14:paraId="1AF13CB8" w14:textId="77777777" w:rsidR="00735791" w:rsidRDefault="00000000">
      <w:pPr>
        <w:ind w:left="-5" w:right="0"/>
      </w:pPr>
      <w:r>
        <w:t xml:space="preserve">Protocol also contributes significantly to message consistency. Government spokespersons normally follow approved communication procedures that ensure official information accurately reflects government policy while minimizing contradictory statements. Such consistency strengthens institutional credibility and reduces misinformation during politically sensitive situations (Coombs, 2021). </w:t>
      </w:r>
    </w:p>
    <w:p w14:paraId="33B32A99" w14:textId="77777777" w:rsidR="00735791" w:rsidRDefault="00000000">
      <w:pPr>
        <w:ind w:left="-5" w:right="0"/>
      </w:pPr>
      <w:r>
        <w:t xml:space="preserve">Furthermore, protocol influences media perceptions by projecting competence, accountability, discipline, and institutional professionalism. Well-organized public events create favourable impressions among journalists and stakeholders, whereas poorly coordinated events may generate negative media coverage and undermine public confidence. According to </w:t>
      </w:r>
      <w:r>
        <w:rPr>
          <w:b/>
        </w:rPr>
        <w:t>Lee et al. (2012)</w:t>
      </w:r>
      <w:r>
        <w:t xml:space="preserve">, effective public affairs communication depends not only on message content but also on the procedural integrity through which information is communicated. </w:t>
      </w:r>
    </w:p>
    <w:p w14:paraId="7B75FB8E" w14:textId="77777777" w:rsidR="00735791" w:rsidRDefault="00000000">
      <w:pPr>
        <w:pStyle w:val="Heading1"/>
        <w:ind w:left="345" w:hanging="360"/>
      </w:pPr>
      <w:r>
        <w:t xml:space="preserve">International Events and Multinational Organizations </w:t>
      </w:r>
    </w:p>
    <w:p w14:paraId="78407DD4" w14:textId="77777777" w:rsidR="00735791" w:rsidRDefault="00000000">
      <w:pPr>
        <w:ind w:left="-5" w:right="0"/>
      </w:pPr>
      <w:r>
        <w:t xml:space="preserve">Protocol assumes even greater significance within international organizations and multinational corporations because these institutions routinely coordinate interactions among governments, international agencies, business leaders, civil society organizations, and culturally diverse stakeholders. Organizations such as the </w:t>
      </w:r>
      <w:r>
        <w:rPr>
          <w:b/>
        </w:rPr>
        <w:t>United Nations (UN)</w:t>
      </w:r>
      <w:r>
        <w:t xml:space="preserve">, </w:t>
      </w:r>
      <w:r>
        <w:rPr>
          <w:b/>
        </w:rPr>
        <w:t>African Union (AU)</w:t>
      </w:r>
      <w:r>
        <w:t xml:space="preserve">, </w:t>
      </w:r>
      <w:r>
        <w:rPr>
          <w:b/>
        </w:rPr>
        <w:t>European Union (EU)</w:t>
      </w:r>
      <w:r>
        <w:t xml:space="preserve">, </w:t>
      </w:r>
      <w:r>
        <w:rPr>
          <w:b/>
        </w:rPr>
        <w:t>World Bank</w:t>
      </w:r>
      <w:r>
        <w:t xml:space="preserve">, and multinational corporations depend upon carefully established protocol systems to facilitate smooth international cooperation (United Nations, 2020). </w:t>
      </w:r>
    </w:p>
    <w:p w14:paraId="5D2828F9" w14:textId="77777777" w:rsidR="00735791" w:rsidRDefault="00000000">
      <w:pPr>
        <w:spacing w:after="315"/>
        <w:ind w:left="-5" w:right="0"/>
      </w:pPr>
      <w:r>
        <w:t xml:space="preserve">International protocol governs numerous operational activities, including: </w:t>
      </w:r>
    </w:p>
    <w:p w14:paraId="68B8B524" w14:textId="77777777" w:rsidR="00735791" w:rsidRDefault="00000000">
      <w:pPr>
        <w:numPr>
          <w:ilvl w:val="0"/>
          <w:numId w:val="11"/>
        </w:numPr>
        <w:spacing w:after="35"/>
        <w:ind w:right="0" w:hanging="360"/>
      </w:pPr>
      <w:r>
        <w:t xml:space="preserve">diplomatic accreditation;  </w:t>
      </w:r>
    </w:p>
    <w:p w14:paraId="110A1A5F" w14:textId="77777777" w:rsidR="00735791" w:rsidRDefault="00000000">
      <w:pPr>
        <w:numPr>
          <w:ilvl w:val="0"/>
          <w:numId w:val="11"/>
        </w:numPr>
        <w:spacing w:after="35"/>
        <w:ind w:right="0" w:hanging="360"/>
      </w:pPr>
      <w:r>
        <w:t xml:space="preserve">precedence among national representatives;  </w:t>
      </w:r>
    </w:p>
    <w:p w14:paraId="4BA25E64" w14:textId="77777777" w:rsidR="00735791" w:rsidRDefault="00000000">
      <w:pPr>
        <w:numPr>
          <w:ilvl w:val="0"/>
          <w:numId w:val="11"/>
        </w:numPr>
        <w:spacing w:after="35"/>
        <w:ind w:right="0" w:hanging="360"/>
      </w:pPr>
      <w:r>
        <w:t xml:space="preserve">seating arrangements;  </w:t>
      </w:r>
    </w:p>
    <w:p w14:paraId="2F0BFECA" w14:textId="77777777" w:rsidR="00735791" w:rsidRDefault="00000000">
      <w:pPr>
        <w:numPr>
          <w:ilvl w:val="0"/>
          <w:numId w:val="11"/>
        </w:numPr>
        <w:spacing w:after="35"/>
        <w:ind w:right="0" w:hanging="360"/>
      </w:pPr>
      <w:r>
        <w:t xml:space="preserve">ceremonial procedures;  </w:t>
      </w:r>
    </w:p>
    <w:p w14:paraId="7A3A6AC3" w14:textId="77777777" w:rsidR="00735791" w:rsidRDefault="00000000">
      <w:pPr>
        <w:numPr>
          <w:ilvl w:val="0"/>
          <w:numId w:val="11"/>
        </w:numPr>
        <w:spacing w:after="34"/>
        <w:ind w:right="0" w:hanging="360"/>
      </w:pPr>
      <w:r>
        <w:t xml:space="preserve">multilingual communication;  </w:t>
      </w:r>
    </w:p>
    <w:p w14:paraId="2E1EC3CF" w14:textId="77777777" w:rsidR="00735791" w:rsidRDefault="00000000">
      <w:pPr>
        <w:numPr>
          <w:ilvl w:val="0"/>
          <w:numId w:val="11"/>
        </w:numPr>
        <w:spacing w:after="35"/>
        <w:ind w:right="0" w:hanging="360"/>
      </w:pPr>
      <w:r>
        <w:t xml:space="preserve">flag display;  </w:t>
      </w:r>
    </w:p>
    <w:p w14:paraId="6D4AB789" w14:textId="77777777" w:rsidR="00735791" w:rsidRDefault="00000000">
      <w:pPr>
        <w:numPr>
          <w:ilvl w:val="0"/>
          <w:numId w:val="11"/>
        </w:numPr>
        <w:spacing w:after="35"/>
        <w:ind w:right="0" w:hanging="360"/>
      </w:pPr>
      <w:r>
        <w:t xml:space="preserve">exchange of official documents;  </w:t>
      </w:r>
    </w:p>
    <w:p w14:paraId="666FECB7" w14:textId="77777777" w:rsidR="00735791" w:rsidRDefault="00000000">
      <w:pPr>
        <w:numPr>
          <w:ilvl w:val="0"/>
          <w:numId w:val="11"/>
        </w:numPr>
        <w:spacing w:after="35"/>
        <w:ind w:right="0" w:hanging="360"/>
      </w:pPr>
      <w:r>
        <w:t xml:space="preserve">security coordination;  </w:t>
      </w:r>
    </w:p>
    <w:p w14:paraId="6ED922B0" w14:textId="77777777" w:rsidR="00735791" w:rsidRDefault="00000000">
      <w:pPr>
        <w:numPr>
          <w:ilvl w:val="0"/>
          <w:numId w:val="11"/>
        </w:numPr>
        <w:ind w:right="0" w:hanging="360"/>
      </w:pPr>
      <w:r>
        <w:t xml:space="preserve">cultural observance; and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t xml:space="preserve">conflict resolution procedures.  </w:t>
      </w:r>
    </w:p>
    <w:p w14:paraId="1B149D98" w14:textId="77777777" w:rsidR="00735791" w:rsidRDefault="00000000">
      <w:pPr>
        <w:ind w:left="-5" w:right="0"/>
      </w:pPr>
      <w:r>
        <w:t xml:space="preserve">Because participants often represent different political systems, religions, cultures, and languages, protocol provides universally accepted standards that minimize misunderstanding and promote mutual respect. For example, international summits carefully apply precedence rules to determine seating arrangements, speaking order, national flag placement, and ceremonial recognition to avoid diplomatic disputes (United Nations, 2020). </w:t>
      </w:r>
    </w:p>
    <w:p w14:paraId="00EE9A2D" w14:textId="77777777" w:rsidR="00735791" w:rsidRDefault="00000000">
      <w:pPr>
        <w:ind w:left="-5" w:right="0"/>
      </w:pPr>
      <w:r>
        <w:t xml:space="preserve">Multinational corporations similarly apply protocol when conducting international board meetings, shareholder assemblies, mergers, acquisitions, cross-border negotiations, executive visits, and global product launches. Standardized protocol facilitates organizational consistency while allowing flexibility for local cultural practices (Sriramesh &amp; Verčič, 2021). </w:t>
      </w:r>
    </w:p>
    <w:p w14:paraId="5C9D6E89" w14:textId="77777777" w:rsidR="00735791" w:rsidRDefault="00000000">
      <w:pPr>
        <w:spacing w:after="279" w:line="240" w:lineRule="auto"/>
        <w:ind w:left="0" w:right="0" w:firstLine="0"/>
        <w:jc w:val="left"/>
      </w:pPr>
      <w:r>
        <w:t xml:space="preserve">Moreover, </w:t>
      </w:r>
      <w:r>
        <w:tab/>
        <w:t xml:space="preserve">protocol </w:t>
      </w:r>
      <w:r>
        <w:tab/>
        <w:t xml:space="preserve">reinforces </w:t>
      </w:r>
      <w:r>
        <w:tab/>
        <w:t xml:space="preserve">institutional </w:t>
      </w:r>
      <w:r>
        <w:tab/>
        <w:t xml:space="preserve">legitimacy </w:t>
      </w:r>
      <w:r>
        <w:tab/>
        <w:t xml:space="preserve">by </w:t>
      </w:r>
      <w:r>
        <w:tab/>
        <w:t xml:space="preserve">demonstrating </w:t>
      </w:r>
      <w:r>
        <w:tab/>
        <w:t xml:space="preserve">neutrality, professionalism, fairness, and respect for international norms. This contributes significantly to stakeholder trust and enhances the credibility of international organizations operating within politically sensitive environments (Grunig et al., 2002). </w:t>
      </w:r>
    </w:p>
    <w:p w14:paraId="1EA674D6" w14:textId="77777777" w:rsidR="00735791" w:rsidRDefault="00000000">
      <w:pPr>
        <w:pStyle w:val="Heading2"/>
        <w:ind w:left="465" w:hanging="480"/>
      </w:pPr>
      <w:r>
        <w:t xml:space="preserve">Crisis Response Protocol </w:t>
      </w:r>
    </w:p>
    <w:p w14:paraId="72DCE65E" w14:textId="77777777" w:rsidR="00735791" w:rsidRDefault="00000000">
      <w:pPr>
        <w:ind w:left="-5" w:right="0"/>
      </w:pPr>
      <w:r>
        <w:t xml:space="preserve">One of the most critical applications of protocol occurs during organizational crises. Crisis situations—including natural disasters, industrial accidents, disease outbreaks, cyberattacks, financial scandals, political instability, product recalls, and security emergencies—require rapid, coordinated, and accurate communication. Organizations that lack predefined communication procedures often experience confusion, inconsistent messaging, delayed responses, and reputational damage (Coombs, 2021). </w:t>
      </w:r>
    </w:p>
    <w:p w14:paraId="1F7E9FEF" w14:textId="77777777" w:rsidR="00735791" w:rsidRDefault="00000000">
      <w:pPr>
        <w:spacing w:after="313"/>
        <w:ind w:left="-5" w:right="0"/>
      </w:pPr>
      <w:r>
        <w:t xml:space="preserve">Crisis communication protocol typically includes: </w:t>
      </w:r>
    </w:p>
    <w:p w14:paraId="57CA49FF" w14:textId="77777777" w:rsidR="00735791" w:rsidRDefault="00000000">
      <w:pPr>
        <w:numPr>
          <w:ilvl w:val="0"/>
          <w:numId w:val="12"/>
        </w:numPr>
        <w:ind w:right="0" w:hanging="360"/>
      </w:pPr>
      <w:r>
        <w:t xml:space="preserve">emergency communication chains;  </w:t>
      </w:r>
    </w:p>
    <w:p w14:paraId="0685A1FE" w14:textId="77777777" w:rsidR="00735791" w:rsidRDefault="00000000">
      <w:pPr>
        <w:numPr>
          <w:ilvl w:val="0"/>
          <w:numId w:val="12"/>
        </w:numPr>
        <w:spacing w:after="35"/>
        <w:ind w:right="0" w:hanging="360"/>
      </w:pPr>
      <w:r>
        <w:t xml:space="preserve">spokesperson designation;  </w:t>
      </w:r>
    </w:p>
    <w:p w14:paraId="4FA44565" w14:textId="77777777" w:rsidR="00735791" w:rsidRDefault="00000000">
      <w:pPr>
        <w:numPr>
          <w:ilvl w:val="0"/>
          <w:numId w:val="12"/>
        </w:numPr>
        <w:spacing w:after="35"/>
        <w:ind w:right="0" w:hanging="360"/>
      </w:pPr>
      <w:r>
        <w:t xml:space="preserve">message approval procedures;  </w:t>
      </w:r>
    </w:p>
    <w:p w14:paraId="6C070F67" w14:textId="77777777" w:rsidR="00735791" w:rsidRDefault="00000000">
      <w:pPr>
        <w:numPr>
          <w:ilvl w:val="0"/>
          <w:numId w:val="12"/>
        </w:numPr>
        <w:spacing w:after="35"/>
        <w:ind w:right="0" w:hanging="360"/>
      </w:pPr>
      <w:r>
        <w:t xml:space="preserve">stakeholder notification systems;  </w:t>
      </w:r>
    </w:p>
    <w:p w14:paraId="65E6C8D8" w14:textId="77777777" w:rsidR="00735791" w:rsidRDefault="00000000">
      <w:pPr>
        <w:numPr>
          <w:ilvl w:val="0"/>
          <w:numId w:val="12"/>
        </w:numPr>
        <w:spacing w:after="35"/>
        <w:ind w:right="0" w:hanging="360"/>
      </w:pPr>
      <w:r>
        <w:t xml:space="preserve">media coordination;  </w:t>
      </w:r>
    </w:p>
    <w:p w14:paraId="61B3EBFF" w14:textId="77777777" w:rsidR="00735791" w:rsidRDefault="00000000">
      <w:pPr>
        <w:numPr>
          <w:ilvl w:val="0"/>
          <w:numId w:val="12"/>
        </w:numPr>
        <w:spacing w:after="35"/>
        <w:ind w:right="0" w:hanging="360"/>
      </w:pPr>
      <w:r>
        <w:t xml:space="preserve">documentation and record keeping;  </w:t>
      </w:r>
    </w:p>
    <w:p w14:paraId="4E717432" w14:textId="77777777" w:rsidR="00735791" w:rsidRDefault="00000000">
      <w:pPr>
        <w:numPr>
          <w:ilvl w:val="0"/>
          <w:numId w:val="12"/>
        </w:numPr>
        <w:spacing w:after="35"/>
        <w:ind w:right="0" w:hanging="360"/>
      </w:pPr>
      <w:r>
        <w:t xml:space="preserve">inter-agency collaboration procedures;  </w:t>
      </w:r>
    </w:p>
    <w:p w14:paraId="718384D8" w14:textId="77777777" w:rsidR="00735791" w:rsidRDefault="00000000">
      <w:pPr>
        <w:numPr>
          <w:ilvl w:val="0"/>
          <w:numId w:val="12"/>
        </w:numPr>
        <w:spacing w:after="35"/>
        <w:ind w:right="0" w:hanging="360"/>
      </w:pPr>
      <w:r>
        <w:t xml:space="preserve">social media monitoring;  </w:t>
      </w:r>
    </w:p>
    <w:p w14:paraId="5D8C34C6" w14:textId="77777777" w:rsidR="00735791" w:rsidRDefault="00000000">
      <w:pPr>
        <w:numPr>
          <w:ilvl w:val="0"/>
          <w:numId w:val="12"/>
        </w:numPr>
        <w:spacing w:after="35"/>
        <w:ind w:right="0" w:hanging="360"/>
      </w:pPr>
      <w:r>
        <w:t xml:space="preserve">public information dissemination; and  </w:t>
      </w:r>
    </w:p>
    <w:p w14:paraId="66D175C1" w14:textId="77777777" w:rsidR="00735791" w:rsidRDefault="00000000">
      <w:pPr>
        <w:numPr>
          <w:ilvl w:val="0"/>
          <w:numId w:val="12"/>
        </w:numPr>
        <w:ind w:right="0" w:hanging="360"/>
      </w:pPr>
      <w:r>
        <w:t xml:space="preserve">post-crisis evaluation.  </w:t>
      </w:r>
    </w:p>
    <w:p w14:paraId="0C9F678D" w14:textId="77777777" w:rsidR="00735791" w:rsidRDefault="00000000">
      <w:pPr>
        <w:ind w:left="-5" w:right="0"/>
      </w:pPr>
      <w:r>
        <w:t xml:space="preserve">A clearly established chain of communication ensures that information flows rapidly from operational personnel to organizational leadership and designated spokespersons. This minimizes conflicting messages while enabling timely decision-making. Designated spokespersons receive protocol guidance regarding approved messaging, media interaction, confidentiality, and legal considerations before communicating publicly (Coombs, 2021). </w:t>
      </w:r>
    </w:p>
    <w:p w14:paraId="5A54380E" w14:textId="77777777" w:rsidR="00735791" w:rsidRDefault="00000000">
      <w:pPr>
        <w:ind w:left="-5" w:right="0"/>
      </w:pPr>
      <w:r>
        <w:t xml:space="preserve">Protocol also establishes approval procedures to ensure that all crisis communications are accurate, legally compliant, and consistent with organizational policies. Simultaneously, stakeholder notification systems identify the sequence through which employees, customers, regulators, emergency responders, investors, and the media receive information. </w:t>
      </w:r>
    </w:p>
    <w:p w14:paraId="6BF754E3" w14:textId="77777777" w:rsidR="00735791" w:rsidRDefault="00000000">
      <w:pPr>
        <w:ind w:left="-5" w:right="0"/>
      </w:pPr>
      <w:r>
        <w:t xml:space="preserve">Media coordination constitutes another important aspect of crisis protocol. Organized media briefings reduce speculation, provide verified information, and help maintain public confidence during emergencies. Likewise, systematic documentation preserves accurate records for legal accountability, institutional learning, and future crisis preparedness (Fearn-Banks, 2017). </w:t>
      </w:r>
    </w:p>
    <w:p w14:paraId="0A808693" w14:textId="77777777" w:rsidR="00735791" w:rsidRDefault="00000000">
      <w:pPr>
        <w:ind w:left="-5" w:right="0"/>
      </w:pPr>
      <w:r>
        <w:t xml:space="preserve">Numerous empirical studies demonstrate that organizations possessing comprehensive crisis communication protocols generally respond more effectively than organizations relying on improvisation. Prepared organizations typically experience faster response times, greater stakeholder confidence, reduced reputational damage, and more rapid organizational recovery following crises (Coombs, 2021; Fearn-Banks, 2017). </w:t>
      </w:r>
    </w:p>
    <w:p w14:paraId="7FB75D7C" w14:textId="77777777" w:rsidR="00735791" w:rsidRDefault="00000000">
      <w:pPr>
        <w:spacing w:after="255" w:line="259" w:lineRule="auto"/>
        <w:ind w:left="0" w:right="0" w:firstLine="0"/>
        <w:jc w:val="left"/>
      </w:pPr>
      <w:r>
        <w:t xml:space="preserve"> </w:t>
      </w:r>
    </w:p>
    <w:p w14:paraId="388A6512" w14:textId="77777777" w:rsidR="00735791" w:rsidRDefault="00000000">
      <w:pPr>
        <w:spacing w:after="256" w:line="259" w:lineRule="auto"/>
        <w:ind w:left="0" w:right="0" w:firstLine="0"/>
        <w:jc w:val="left"/>
      </w:pPr>
      <w:r>
        <w:t xml:space="preserve"> </w:t>
      </w:r>
    </w:p>
    <w:p w14:paraId="3054234E" w14:textId="77777777" w:rsidR="00735791" w:rsidRDefault="00000000">
      <w:pPr>
        <w:spacing w:after="256" w:line="259" w:lineRule="auto"/>
        <w:ind w:left="0" w:right="0" w:firstLine="0"/>
        <w:jc w:val="left"/>
      </w:pPr>
      <w:r>
        <w:t xml:space="preserve"> </w:t>
      </w:r>
    </w:p>
    <w:p w14:paraId="26DB30EB" w14:textId="77777777" w:rsidR="00735791" w:rsidRDefault="00000000">
      <w:pPr>
        <w:pStyle w:val="Heading1"/>
        <w:ind w:left="345" w:hanging="360"/>
      </w:pPr>
      <w:r>
        <w:t xml:space="preserve">Implications for Public Relations Theory and Practice </w:t>
      </w:r>
    </w:p>
    <w:p w14:paraId="41F06915" w14:textId="77777777" w:rsidR="00735791" w:rsidRDefault="00000000">
      <w:pPr>
        <w:pStyle w:val="Heading2"/>
        <w:ind w:left="465" w:hanging="480"/>
      </w:pPr>
      <w:r>
        <w:t xml:space="preserve">Protocol within Strategic Communication Models </w:t>
      </w:r>
    </w:p>
    <w:p w14:paraId="3EFC2FEF" w14:textId="77777777" w:rsidR="00735791" w:rsidRDefault="00000000">
      <w:pPr>
        <w:ind w:left="-5" w:right="0"/>
      </w:pPr>
      <w:r>
        <w:t xml:space="preserve">Protocol complements strategic communication by translating organizational values into observable behaviour. </w:t>
      </w:r>
    </w:p>
    <w:p w14:paraId="6BC7AD7A" w14:textId="77777777" w:rsidR="00735791" w:rsidRDefault="00000000">
      <w:pPr>
        <w:ind w:left="-5" w:right="0"/>
      </w:pPr>
      <w:r>
        <w:t xml:space="preserve">Rather than functioning as administrative routine, protocol serves as symbolic communication that reinforces organizational legitimacy. </w:t>
      </w:r>
    </w:p>
    <w:p w14:paraId="6657105D" w14:textId="77777777" w:rsidR="00735791" w:rsidRDefault="00000000">
      <w:pPr>
        <w:ind w:left="-5" w:right="0"/>
      </w:pPr>
      <w:r>
        <w:t xml:space="preserve">Its integration into strategic communication models would strengthen existing theories concerning organizational reputation and stakeholder trust. </w:t>
      </w:r>
    </w:p>
    <w:p w14:paraId="351BA11E" w14:textId="77777777" w:rsidR="00735791" w:rsidRDefault="00000000">
      <w:pPr>
        <w:pStyle w:val="Heading2"/>
        <w:ind w:left="465" w:hanging="480"/>
      </w:pPr>
      <w:r>
        <w:t xml:space="preserve">Professional Skills and Education </w:t>
      </w:r>
    </w:p>
    <w:p w14:paraId="0000D3DE" w14:textId="77777777" w:rsidR="00735791" w:rsidRDefault="00000000">
      <w:pPr>
        <w:spacing w:after="313"/>
        <w:ind w:left="-5" w:right="0"/>
      </w:pPr>
      <w:r>
        <w:t xml:space="preserve">Public relations curricula should include dedicated instruction in: </w:t>
      </w:r>
    </w:p>
    <w:p w14:paraId="3ACCA891" w14:textId="77777777" w:rsidR="00735791" w:rsidRDefault="00000000">
      <w:pPr>
        <w:numPr>
          <w:ilvl w:val="0"/>
          <w:numId w:val="13"/>
        </w:numPr>
        <w:spacing w:after="35"/>
        <w:ind w:right="0" w:hanging="360"/>
      </w:pPr>
      <w:r>
        <w:t xml:space="preserve">diplomatic protocol; </w:t>
      </w:r>
    </w:p>
    <w:p w14:paraId="586B9001" w14:textId="77777777" w:rsidR="00735791" w:rsidRDefault="00000000">
      <w:pPr>
        <w:numPr>
          <w:ilvl w:val="0"/>
          <w:numId w:val="13"/>
        </w:numPr>
        <w:spacing w:after="35"/>
        <w:ind w:right="0" w:hanging="360"/>
      </w:pPr>
      <w:r>
        <w:t xml:space="preserve">corporate protocol; </w:t>
      </w:r>
    </w:p>
    <w:p w14:paraId="31804903" w14:textId="77777777" w:rsidR="00735791" w:rsidRDefault="00000000">
      <w:pPr>
        <w:numPr>
          <w:ilvl w:val="0"/>
          <w:numId w:val="13"/>
        </w:numPr>
        <w:spacing w:after="35"/>
        <w:ind w:right="0" w:hanging="360"/>
      </w:pPr>
      <w:r>
        <w:t xml:space="preserve">event protocol; </w:t>
      </w:r>
    </w:p>
    <w:p w14:paraId="217DB8FB" w14:textId="77777777" w:rsidR="00735791" w:rsidRDefault="00000000">
      <w:pPr>
        <w:numPr>
          <w:ilvl w:val="0"/>
          <w:numId w:val="13"/>
        </w:numPr>
        <w:spacing w:after="35"/>
        <w:ind w:right="0" w:hanging="360"/>
      </w:pPr>
      <w:r>
        <w:t xml:space="preserve">international communication; </w:t>
      </w:r>
    </w:p>
    <w:p w14:paraId="6F2E3432" w14:textId="77777777" w:rsidR="00735791" w:rsidRDefault="00000000">
      <w:pPr>
        <w:numPr>
          <w:ilvl w:val="0"/>
          <w:numId w:val="13"/>
        </w:numPr>
        <w:spacing w:after="35"/>
        <w:ind w:right="0" w:hanging="360"/>
      </w:pPr>
      <w:r>
        <w:t xml:space="preserve">ceremonial management; </w:t>
      </w:r>
    </w:p>
    <w:p w14:paraId="5A955926" w14:textId="77777777" w:rsidR="00735791" w:rsidRDefault="00000000">
      <w:pPr>
        <w:numPr>
          <w:ilvl w:val="0"/>
          <w:numId w:val="13"/>
        </w:numPr>
        <w:spacing w:after="35"/>
        <w:ind w:right="0" w:hanging="360"/>
      </w:pPr>
      <w:r>
        <w:t xml:space="preserve">intercultural communication; </w:t>
      </w:r>
    </w:p>
    <w:p w14:paraId="2E89F1BB" w14:textId="77777777" w:rsidR="00735791" w:rsidRDefault="00000000">
      <w:pPr>
        <w:numPr>
          <w:ilvl w:val="0"/>
          <w:numId w:val="13"/>
        </w:numPr>
        <w:ind w:right="0" w:hanging="360"/>
      </w:pPr>
      <w:r>
        <w:t xml:space="preserve">leadership communication. </w:t>
      </w:r>
    </w:p>
    <w:p w14:paraId="7D0B4E20" w14:textId="77777777" w:rsidR="00735791" w:rsidRDefault="00000000">
      <w:pPr>
        <w:ind w:left="-5" w:right="0"/>
      </w:pPr>
      <w:r>
        <w:t xml:space="preserve">Professional associations should similarly establish certification programmes in protocol management. </w:t>
      </w:r>
    </w:p>
    <w:p w14:paraId="35C10E7F" w14:textId="77777777" w:rsidR="00735791" w:rsidRDefault="00000000">
      <w:pPr>
        <w:pStyle w:val="Heading2"/>
        <w:ind w:left="465" w:hanging="480"/>
      </w:pPr>
      <w:r>
        <w:t xml:space="preserve">Measurement and Evaluation </w:t>
      </w:r>
    </w:p>
    <w:p w14:paraId="4A55F521" w14:textId="77777777" w:rsidR="00735791" w:rsidRDefault="00000000">
      <w:pPr>
        <w:spacing w:after="315"/>
        <w:ind w:left="-5" w:right="0"/>
      </w:pPr>
      <w:r>
        <w:t xml:space="preserve">Protocol effectiveness can be assessed using measurable indicators including: </w:t>
      </w:r>
    </w:p>
    <w:p w14:paraId="5EA9C868" w14:textId="77777777" w:rsidR="00735791" w:rsidRDefault="00000000">
      <w:pPr>
        <w:numPr>
          <w:ilvl w:val="0"/>
          <w:numId w:val="14"/>
        </w:numPr>
        <w:spacing w:after="35"/>
        <w:ind w:right="0" w:hanging="360"/>
      </w:pPr>
      <w:r>
        <w:t xml:space="preserve">stakeholder satisfaction; </w:t>
      </w:r>
    </w:p>
    <w:p w14:paraId="327A1A52" w14:textId="77777777" w:rsidR="00735791" w:rsidRDefault="00000000">
      <w:pPr>
        <w:numPr>
          <w:ilvl w:val="0"/>
          <w:numId w:val="14"/>
        </w:numPr>
        <w:spacing w:after="35"/>
        <w:ind w:right="0" w:hanging="360"/>
      </w:pPr>
      <w:r>
        <w:t xml:space="preserve">event performance; </w:t>
      </w:r>
    </w:p>
    <w:p w14:paraId="11507BC8" w14:textId="77777777" w:rsidR="00735791" w:rsidRDefault="00000000">
      <w:pPr>
        <w:numPr>
          <w:ilvl w:val="0"/>
          <w:numId w:val="14"/>
        </w:numPr>
        <w:spacing w:after="35"/>
        <w:ind w:right="0" w:hanging="360"/>
      </w:pPr>
      <w:r>
        <w:t xml:space="preserve">reputation indices; </w:t>
      </w:r>
    </w:p>
    <w:p w14:paraId="57A95FC7" w14:textId="77777777" w:rsidR="00735791" w:rsidRDefault="00000000">
      <w:pPr>
        <w:numPr>
          <w:ilvl w:val="0"/>
          <w:numId w:val="14"/>
        </w:numPr>
        <w:spacing w:after="32"/>
        <w:ind w:right="0" w:hanging="360"/>
      </w:pPr>
      <w:r>
        <w:t xml:space="preserve">media sentiment;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t xml:space="preserve">communication efficiency; </w:t>
      </w:r>
    </w:p>
    <w:p w14:paraId="17CC3102" w14:textId="77777777" w:rsidR="00735791" w:rsidRDefault="00000000">
      <w:pPr>
        <w:numPr>
          <w:ilvl w:val="0"/>
          <w:numId w:val="14"/>
        </w:numPr>
        <w:ind w:right="0" w:hanging="360"/>
      </w:pPr>
      <w:r>
        <w:t xml:space="preserve">organizational trust. </w:t>
      </w:r>
    </w:p>
    <w:p w14:paraId="0F80D9CB" w14:textId="77777777" w:rsidR="00735791" w:rsidRDefault="00000000">
      <w:pPr>
        <w:ind w:left="-5" w:right="0"/>
      </w:pPr>
      <w:r>
        <w:t xml:space="preserve">Developing standardized evaluation frameworks remains an important research priority. </w:t>
      </w:r>
    </w:p>
    <w:p w14:paraId="5D2FFFD6" w14:textId="77777777" w:rsidR="00735791" w:rsidRDefault="00000000">
      <w:pPr>
        <w:spacing w:after="256" w:line="259" w:lineRule="auto"/>
        <w:ind w:left="0" w:right="0" w:firstLine="0"/>
        <w:jc w:val="left"/>
      </w:pPr>
      <w:r>
        <w:t xml:space="preserve"> </w:t>
      </w:r>
    </w:p>
    <w:p w14:paraId="15768C56" w14:textId="77777777" w:rsidR="00735791" w:rsidRDefault="00000000">
      <w:pPr>
        <w:pStyle w:val="Heading1"/>
        <w:ind w:left="345" w:hanging="360"/>
      </w:pPr>
      <w:r>
        <w:t xml:space="preserve">Future Directions </w:t>
      </w:r>
    </w:p>
    <w:p w14:paraId="7FF27FAD" w14:textId="77777777" w:rsidR="00735791" w:rsidRDefault="00000000">
      <w:pPr>
        <w:pStyle w:val="Heading2"/>
        <w:ind w:left="465" w:hanging="480"/>
      </w:pPr>
      <w:r>
        <w:t xml:space="preserve">Emerging Technologies </w:t>
      </w:r>
    </w:p>
    <w:p w14:paraId="15191825" w14:textId="77777777" w:rsidR="00735791" w:rsidRDefault="00000000">
      <w:pPr>
        <w:ind w:left="-5" w:right="0"/>
      </w:pPr>
      <w:r>
        <w:t xml:space="preserve">Artificial intelligence, virtual reality, blockchain authentication, digital identity verification, and immersive communication technologies will reshape protocol practice. </w:t>
      </w:r>
    </w:p>
    <w:p w14:paraId="7EC00680" w14:textId="77777777" w:rsidR="00735791" w:rsidRDefault="00000000">
      <w:pPr>
        <w:ind w:left="-5" w:right="0"/>
      </w:pPr>
      <w:r>
        <w:t xml:space="preserve">Researchers should examine how technological innovations influence organizational legitimacy and stakeholder expectations. </w:t>
      </w:r>
    </w:p>
    <w:p w14:paraId="27C64C25" w14:textId="77777777" w:rsidR="00735791" w:rsidRDefault="00000000">
      <w:pPr>
        <w:pStyle w:val="Heading2"/>
        <w:ind w:left="465" w:hanging="480"/>
      </w:pPr>
      <w:r>
        <w:t xml:space="preserve">Cross-Disciplinary Collaboration </w:t>
      </w:r>
    </w:p>
    <w:p w14:paraId="7D63F3CA" w14:textId="77777777" w:rsidR="00735791" w:rsidRDefault="00000000">
      <w:pPr>
        <w:spacing w:after="315"/>
        <w:ind w:left="-5" w:right="0"/>
      </w:pPr>
      <w:r>
        <w:t xml:space="preserve">Future scholarship should encourage collaboration among researchers in: </w:t>
      </w:r>
    </w:p>
    <w:p w14:paraId="7E8C901A" w14:textId="77777777" w:rsidR="00735791" w:rsidRDefault="00000000">
      <w:pPr>
        <w:numPr>
          <w:ilvl w:val="0"/>
          <w:numId w:val="15"/>
        </w:numPr>
        <w:spacing w:after="35"/>
        <w:ind w:right="0" w:hanging="360"/>
      </w:pPr>
      <w:r>
        <w:t xml:space="preserve">communication; </w:t>
      </w:r>
    </w:p>
    <w:p w14:paraId="7181423C" w14:textId="77777777" w:rsidR="00735791" w:rsidRDefault="00000000">
      <w:pPr>
        <w:numPr>
          <w:ilvl w:val="0"/>
          <w:numId w:val="15"/>
        </w:numPr>
        <w:spacing w:after="36"/>
        <w:ind w:right="0" w:hanging="360"/>
      </w:pPr>
      <w:r>
        <w:t xml:space="preserve">diplomacy; </w:t>
      </w:r>
    </w:p>
    <w:p w14:paraId="06D6DD54" w14:textId="77777777" w:rsidR="00735791" w:rsidRDefault="00000000">
      <w:pPr>
        <w:numPr>
          <w:ilvl w:val="0"/>
          <w:numId w:val="15"/>
        </w:numPr>
        <w:spacing w:after="35"/>
        <w:ind w:right="0" w:hanging="360"/>
      </w:pPr>
      <w:r>
        <w:t xml:space="preserve">political science; </w:t>
      </w:r>
    </w:p>
    <w:p w14:paraId="7BF597C9" w14:textId="77777777" w:rsidR="00735791" w:rsidRDefault="00000000">
      <w:pPr>
        <w:numPr>
          <w:ilvl w:val="0"/>
          <w:numId w:val="15"/>
        </w:numPr>
        <w:spacing w:after="35"/>
        <w:ind w:right="0" w:hanging="360"/>
      </w:pPr>
      <w:r>
        <w:t xml:space="preserve">management; </w:t>
      </w:r>
    </w:p>
    <w:p w14:paraId="17CCE3AC" w14:textId="77777777" w:rsidR="00735791" w:rsidRDefault="00000000">
      <w:pPr>
        <w:numPr>
          <w:ilvl w:val="0"/>
          <w:numId w:val="15"/>
        </w:numPr>
        <w:spacing w:after="35"/>
        <w:ind w:right="0" w:hanging="360"/>
      </w:pPr>
      <w:r>
        <w:t xml:space="preserve">sociology; </w:t>
      </w:r>
    </w:p>
    <w:p w14:paraId="2A46F575" w14:textId="77777777" w:rsidR="00735791" w:rsidRDefault="00000000">
      <w:pPr>
        <w:numPr>
          <w:ilvl w:val="0"/>
          <w:numId w:val="15"/>
        </w:numPr>
        <w:spacing w:after="35"/>
        <w:ind w:right="0" w:hanging="360"/>
      </w:pPr>
      <w:r>
        <w:t xml:space="preserve">psychology; </w:t>
      </w:r>
    </w:p>
    <w:p w14:paraId="7F435747" w14:textId="77777777" w:rsidR="00735791" w:rsidRDefault="00000000">
      <w:pPr>
        <w:numPr>
          <w:ilvl w:val="0"/>
          <w:numId w:val="15"/>
        </w:numPr>
        <w:ind w:right="0" w:hanging="360"/>
      </w:pPr>
      <w:r>
        <w:t xml:space="preserve">international relations. </w:t>
      </w:r>
    </w:p>
    <w:p w14:paraId="55782D76" w14:textId="77777777" w:rsidR="00735791" w:rsidRDefault="00000000">
      <w:pPr>
        <w:spacing w:after="0" w:line="481" w:lineRule="auto"/>
        <w:ind w:left="-5" w:right="0"/>
      </w:pPr>
      <w:r>
        <w:t xml:space="preserve">Such collaboration would strengthen theoretical development and improve professional standards. </w:t>
      </w:r>
      <w:r>
        <w:rPr>
          <w:b/>
        </w:rPr>
        <w:t xml:space="preserve">12.3 Policy Implications </w:t>
      </w:r>
    </w:p>
    <w:p w14:paraId="7E74ECA4" w14:textId="77777777" w:rsidR="00735791" w:rsidRDefault="00000000">
      <w:pPr>
        <w:ind w:left="-5" w:right="0"/>
      </w:pPr>
      <w:r>
        <w:t xml:space="preserve">Governments, multinational corporations, universities, and international organizations should develop comprehensive protocol policies that integrate communication strategy, stakeholder engagement, ethics, and digital governance. </w:t>
      </w:r>
    </w:p>
    <w:p w14:paraId="66A75B8B" w14:textId="77777777" w:rsidR="00735791" w:rsidRDefault="00000000">
      <w:pPr>
        <w:ind w:left="-5" w:right="0"/>
      </w:pPr>
      <w:r>
        <w:t xml:space="preserve">Professional bodies should also establish internationally recognized protocol standards. </w:t>
      </w:r>
    </w:p>
    <w:p w14:paraId="3D6FC906" w14:textId="77777777" w:rsidR="00735791" w:rsidRDefault="00000000">
      <w:pPr>
        <w:pStyle w:val="Heading1"/>
        <w:ind w:left="345" w:hanging="360"/>
      </w:pPr>
      <w:r>
        <w:t xml:space="preserve">Conclusion </w:t>
      </w:r>
    </w:p>
    <w:p w14:paraId="047FC9BE" w14:textId="77777777" w:rsidR="00735791" w:rsidRDefault="00000000">
      <w:pPr>
        <w:ind w:left="-5" w:right="0"/>
      </w:pPr>
      <w:r>
        <w:t xml:space="preserve">Protocol represents one of the least studied yet most strategically significant components of contemporary public relations. Although traditionally associated with ceremonial practice and diplomacy, protocol performs far broader communication functions that influence organizational identity, stakeholder relationships, institutional legitimacy, crisis preparedness, and corporate reputation. </w:t>
      </w:r>
    </w:p>
    <w:p w14:paraId="356B3A57" w14:textId="77777777" w:rsidR="00735791" w:rsidRDefault="00000000">
      <w:pPr>
        <w:ind w:left="-5" w:right="0"/>
      </w:pPr>
      <w:r>
        <w:t xml:space="preserve">As organizations increasingly operate within multicultural and digitally connected environments, protocol becomes essential for ensuring consistent, respectful, and strategically aligned communication. Recognizing protocol as a distinct subfield of public relations bridges an important gap between professional practice and academic scholarship while expanding theoretical understanding of strategic communication. </w:t>
      </w:r>
    </w:p>
    <w:p w14:paraId="6DA9FDE9" w14:textId="77777777" w:rsidR="00735791" w:rsidRDefault="00000000">
      <w:pPr>
        <w:ind w:left="-5" w:right="0"/>
      </w:pPr>
      <w:r>
        <w:t xml:space="preserve">Future research should move beyond descriptive accounts toward empirical investigation of protocol's effectiveness, measurement, digital transformation, and contribution to organizational excellence. By integrating protocol into mainstream public relations scholarship, researchers and practitioners can better appreciate its role as a strategic management function rather than merely an administrative or ceremonial activity. </w:t>
      </w:r>
    </w:p>
    <w:p w14:paraId="2D7EB979" w14:textId="77777777" w:rsidR="00735791" w:rsidRDefault="00000000">
      <w:pPr>
        <w:pStyle w:val="Heading1"/>
        <w:numPr>
          <w:ilvl w:val="0"/>
          <w:numId w:val="0"/>
        </w:numPr>
        <w:spacing w:after="0"/>
        <w:ind w:left="-5"/>
      </w:pPr>
      <w:r>
        <w:t xml:space="preserve">References </w:t>
      </w:r>
    </w:p>
    <w:p w14:paraId="719E2B19" w14:textId="77777777" w:rsidR="00735791" w:rsidRDefault="00000000">
      <w:pPr>
        <w:spacing w:after="0" w:line="259" w:lineRule="auto"/>
        <w:ind w:left="0" w:right="0" w:firstLine="0"/>
        <w:jc w:val="left"/>
      </w:pPr>
      <w:r>
        <w:rPr>
          <w:b/>
        </w:rPr>
        <w:t xml:space="preserve"> </w:t>
      </w:r>
    </w:p>
    <w:p w14:paraId="5BE85D9C" w14:textId="77777777" w:rsidR="00735791" w:rsidRDefault="00000000">
      <w:pPr>
        <w:spacing w:after="0" w:line="249" w:lineRule="auto"/>
        <w:ind w:left="535" w:right="0" w:hanging="550"/>
        <w:jc w:val="left"/>
      </w:pPr>
      <w:r>
        <w:t xml:space="preserve">American Psychological Association. (2020). </w:t>
      </w:r>
      <w:r>
        <w:rPr>
          <w:i/>
        </w:rPr>
        <w:t>Publication manual of the American Psychological Association</w:t>
      </w:r>
      <w:r>
        <w:t xml:space="preserve"> (7th ed.).  </w:t>
      </w:r>
    </w:p>
    <w:p w14:paraId="7C5C0980" w14:textId="77777777" w:rsidR="00735791" w:rsidRDefault="00000000">
      <w:pPr>
        <w:spacing w:after="12"/>
        <w:ind w:left="-5" w:right="0"/>
      </w:pPr>
      <w:r>
        <w:t xml:space="preserve">Argenti, P. A. (2016). </w:t>
      </w:r>
      <w:r>
        <w:rPr>
          <w:i/>
        </w:rPr>
        <w:t>Corporate communication</w:t>
      </w:r>
      <w:r>
        <w:t xml:space="preserve"> (7th ed.). McGraw-Hill. </w:t>
      </w:r>
    </w:p>
    <w:p w14:paraId="71E57FEA" w14:textId="77777777" w:rsidR="00735791" w:rsidRDefault="00000000">
      <w:pPr>
        <w:spacing w:after="0" w:line="249" w:lineRule="auto"/>
        <w:ind w:left="535" w:right="0" w:hanging="550"/>
        <w:jc w:val="left"/>
      </w:pPr>
      <w:r>
        <w:t xml:space="preserve">Benoit, W. L. (1995). </w:t>
      </w:r>
      <w:r>
        <w:rPr>
          <w:i/>
        </w:rPr>
        <w:t>Accounts, Excuses and Apologies: A Theory of Image Restoration Strategies.</w:t>
      </w:r>
      <w:r>
        <w:t xml:space="preserve"> SUNY Press. </w:t>
      </w:r>
    </w:p>
    <w:p w14:paraId="0C691D23" w14:textId="77777777" w:rsidR="00735791" w:rsidRDefault="00000000">
      <w:pPr>
        <w:spacing w:after="12"/>
        <w:ind w:left="-5" w:right="0"/>
      </w:pPr>
      <w:r>
        <w:t xml:space="preserve">Berridge, G. R. (2015). </w:t>
      </w:r>
      <w:r>
        <w:rPr>
          <w:i/>
        </w:rPr>
        <w:t>Diplomacy: Theory and Practice</w:t>
      </w:r>
      <w:r>
        <w:t xml:space="preserve"> (5th ed.). London: Palgrave Macmillan. </w:t>
      </w:r>
    </w:p>
    <w:p w14:paraId="378F7532" w14:textId="77777777" w:rsidR="00735791" w:rsidRDefault="00000000">
      <w:pPr>
        <w:spacing w:after="0"/>
        <w:ind w:left="525" w:right="0" w:hanging="540"/>
      </w:pPr>
      <w:r>
        <w:t xml:space="preserve">Bowen, G. A. (2009). Document analysis as a qualitative research method. </w:t>
      </w:r>
      <w:r>
        <w:rPr>
          <w:i/>
        </w:rPr>
        <w:t>Qualitative Research Journal, 9</w:t>
      </w:r>
      <w:r>
        <w:t xml:space="preserve">(2), 27–40. </w:t>
      </w:r>
    </w:p>
    <w:p w14:paraId="158FE2D2" w14:textId="77777777" w:rsidR="00735791" w:rsidRDefault="00000000">
      <w:pPr>
        <w:spacing w:after="0"/>
        <w:ind w:left="525" w:right="0" w:hanging="540"/>
      </w:pPr>
      <w:r>
        <w:t xml:space="preserve">Blumer, H. (1969). </w:t>
      </w:r>
      <w:r>
        <w:rPr>
          <w:i/>
        </w:rPr>
        <w:t>Symbolic Interactionism: Perspective and Method</w:t>
      </w:r>
      <w:r>
        <w:t xml:space="preserve">. Englewood Cliffs, NJ: Prentice-Hall. </w:t>
      </w:r>
    </w:p>
    <w:p w14:paraId="4BFD5C18" w14:textId="77777777" w:rsidR="00735791" w:rsidRDefault="00000000">
      <w:pPr>
        <w:spacing w:after="0" w:line="249" w:lineRule="auto"/>
        <w:ind w:left="535" w:right="0" w:hanging="550"/>
        <w:jc w:val="left"/>
      </w:pPr>
      <w:r>
        <w:t xml:space="preserve">Breakenridge, D. K. (2018). </w:t>
      </w:r>
      <w:r>
        <w:rPr>
          <w:i/>
        </w:rPr>
        <w:t>Social Media and Public Relations: Eight New Practices for the PR Professional</w:t>
      </w:r>
      <w:r>
        <w:t xml:space="preserve"> (2nd ed.). Pearson. </w:t>
      </w:r>
    </w:p>
    <w:p w14:paraId="51C2DB56" w14:textId="77777777" w:rsidR="00735791" w:rsidRDefault="00000000">
      <w:pPr>
        <w:spacing w:after="12"/>
        <w:ind w:left="-5" w:right="0"/>
      </w:pPr>
      <w:r>
        <w:t xml:space="preserve">Bryman, A. (2016). </w:t>
      </w:r>
      <w:r>
        <w:rPr>
          <w:i/>
        </w:rPr>
        <w:t>Social research methods</w:t>
      </w:r>
      <w:r>
        <w:t xml:space="preserve"> (5th ed.). Oxford University Press. </w:t>
      </w:r>
    </w:p>
    <w:p w14:paraId="3B654B2F" w14:textId="77777777" w:rsidR="00735791" w:rsidRDefault="00000000">
      <w:pPr>
        <w:spacing w:after="0"/>
        <w:ind w:left="525" w:right="0" w:hanging="540"/>
      </w:pPr>
      <w:r>
        <w:t xml:space="preserve">Coombs, W. T. (2019). </w:t>
      </w:r>
      <w:r>
        <w:rPr>
          <w:i/>
        </w:rPr>
        <w:t>Ongoing Crisis Communication: Planning, Managing, and Responding</w:t>
      </w:r>
      <w:r>
        <w:t xml:space="preserve"> (5th ed.). Thousand Oaks, CA: Sage Publications. </w:t>
      </w:r>
    </w:p>
    <w:p w14:paraId="380214DA" w14:textId="77777777" w:rsidR="00735791" w:rsidRDefault="00000000">
      <w:pPr>
        <w:spacing w:after="0" w:line="249" w:lineRule="auto"/>
        <w:ind w:left="535" w:right="0" w:hanging="550"/>
        <w:jc w:val="left"/>
      </w:pPr>
      <w:r>
        <w:t xml:space="preserve">Coombs, W. T. (2021). </w:t>
      </w:r>
      <w:r>
        <w:rPr>
          <w:i/>
        </w:rPr>
        <w:t>Ongoing Crisis Communication: Planning, Managing, and Responding</w:t>
      </w:r>
      <w:r>
        <w:t xml:space="preserve"> (6th ed.). Sage Publications. </w:t>
      </w:r>
    </w:p>
    <w:p w14:paraId="42E6D3AD" w14:textId="77777777" w:rsidR="00735791" w:rsidRDefault="00000000">
      <w:pPr>
        <w:spacing w:after="0"/>
        <w:ind w:left="525" w:right="0" w:hanging="540"/>
      </w:pPr>
      <w:r>
        <w:t xml:space="preserve">Coombs, W. T., &amp; Holladay, S. J. (2023). </w:t>
      </w:r>
      <w:r>
        <w:rPr>
          <w:i/>
        </w:rPr>
        <w:t>The Handbook of Crisis Communication</w:t>
      </w:r>
      <w:r>
        <w:t xml:space="preserve"> (2nd ed.). Wiley-Blackwell. </w:t>
      </w:r>
    </w:p>
    <w:p w14:paraId="2C535D94" w14:textId="77777777" w:rsidR="00735791" w:rsidRDefault="00000000">
      <w:pPr>
        <w:spacing w:after="0" w:line="249" w:lineRule="auto"/>
        <w:ind w:left="-15" w:right="0" w:firstLine="0"/>
        <w:jc w:val="left"/>
      </w:pPr>
      <w:r>
        <w:t xml:space="preserve">Cornelissen, J. (2020). </w:t>
      </w:r>
      <w:r>
        <w:rPr>
          <w:i/>
        </w:rPr>
        <w:t>Corporate communication: A guide to theory and practice</w:t>
      </w:r>
      <w:r>
        <w:t xml:space="preserve"> (6th ed.). Sage. </w:t>
      </w:r>
    </w:p>
    <w:p w14:paraId="1539C66B" w14:textId="77777777" w:rsidR="00735791" w:rsidRDefault="00000000">
      <w:pPr>
        <w:spacing w:after="0" w:line="249" w:lineRule="auto"/>
        <w:ind w:left="535" w:right="0" w:hanging="550"/>
        <w:jc w:val="left"/>
      </w:pPr>
      <w:r>
        <w:t xml:space="preserve">Creswell, J. W., &amp; Creswell, J. D. (2023). </w:t>
      </w:r>
      <w:r>
        <w:rPr>
          <w:i/>
        </w:rPr>
        <w:t>Research design: Qualitative, quantitative, and mixed methods approaches</w:t>
      </w:r>
      <w:r>
        <w:t xml:space="preserve"> (6th ed.). Sage. </w:t>
      </w:r>
    </w:p>
    <w:p w14:paraId="647DAD91" w14:textId="77777777" w:rsidR="00735791" w:rsidRDefault="00000000">
      <w:pPr>
        <w:spacing w:after="0"/>
        <w:ind w:left="525" w:right="0" w:hanging="540"/>
      </w:pPr>
      <w:r>
        <w:t xml:space="preserve">Creswell, J. W., &amp; Plano Clark, V. L. (2018). </w:t>
      </w:r>
      <w:r>
        <w:rPr>
          <w:i/>
        </w:rPr>
        <w:t>Designing and conducting mixed methods research</w:t>
      </w:r>
      <w:r>
        <w:t xml:space="preserve"> (3rd ed.). Sage. </w:t>
      </w:r>
    </w:p>
    <w:p w14:paraId="44788471" w14:textId="77777777" w:rsidR="00735791" w:rsidRDefault="00000000">
      <w:pPr>
        <w:spacing w:after="0"/>
        <w:ind w:left="525" w:right="0" w:hanging="540"/>
      </w:pPr>
      <w:r>
        <w:t xml:space="preserve">Cutlip, S. M., Center, A. H., &amp; Broom, G. M. (2006). </w:t>
      </w:r>
      <w:r>
        <w:rPr>
          <w:i/>
        </w:rPr>
        <w:t>Effective Public Relations</w:t>
      </w:r>
      <w:r>
        <w:t xml:space="preserve"> (9th ed.). Upper Saddle River, NJ: Pearson. </w:t>
      </w:r>
    </w:p>
    <w:p w14:paraId="5E7DCB0D" w14:textId="77777777" w:rsidR="00735791" w:rsidRDefault="00000000">
      <w:pPr>
        <w:spacing w:after="12"/>
        <w:ind w:left="-5" w:right="0"/>
      </w:pPr>
      <w:r>
        <w:t xml:space="preserve">Denzin, N. K., &amp; Lincoln, Y. S. (2018). </w:t>
      </w:r>
      <w:r>
        <w:rPr>
          <w:i/>
        </w:rPr>
        <w:t>The Sage handbook of qualitative research</w:t>
      </w:r>
      <w:r>
        <w:t xml:space="preserve"> (5th ed.). Sage. </w:t>
      </w:r>
    </w:p>
    <w:p w14:paraId="1AE3900F" w14:textId="77777777" w:rsidR="00735791" w:rsidRDefault="00000000">
      <w:pPr>
        <w:spacing w:after="0" w:line="249" w:lineRule="auto"/>
        <w:ind w:left="535" w:right="0" w:hanging="550"/>
        <w:jc w:val="left"/>
      </w:pPr>
      <w:r>
        <w:t xml:space="preserve">Doorley, J., &amp; Garcia, H. F. (2020). </w:t>
      </w:r>
      <w:r>
        <w:rPr>
          <w:i/>
        </w:rPr>
        <w:t>Reputation Management: The Key to Successful Public Relations and Corporate Communication</w:t>
      </w:r>
      <w:r>
        <w:t xml:space="preserve"> (4th ed.). Routledge. </w:t>
      </w:r>
    </w:p>
    <w:p w14:paraId="271A5D3A" w14:textId="77777777" w:rsidR="00735791" w:rsidRDefault="00000000">
      <w:pPr>
        <w:spacing w:after="0" w:line="249" w:lineRule="auto"/>
        <w:ind w:left="535" w:right="0" w:hanging="550"/>
        <w:jc w:val="left"/>
      </w:pPr>
      <w:r>
        <w:t xml:space="preserve">Fawkes, J. (2018). </w:t>
      </w:r>
      <w:r>
        <w:rPr>
          <w:i/>
        </w:rPr>
        <w:t>Public Relations Ethics and Professionalism: The Shadow of Excellence</w:t>
      </w:r>
      <w:r>
        <w:t xml:space="preserve">. Routledge. </w:t>
      </w:r>
    </w:p>
    <w:p w14:paraId="39774260" w14:textId="77777777" w:rsidR="00735791" w:rsidRDefault="00000000">
      <w:pPr>
        <w:spacing w:after="12"/>
        <w:ind w:left="-5" w:right="0"/>
      </w:pPr>
      <w:r>
        <w:t xml:space="preserve">Fearn-Banks, K. (2017). </w:t>
      </w:r>
      <w:r>
        <w:rPr>
          <w:i/>
        </w:rPr>
        <w:t>Crisis Communications: A Casebook Approach</w:t>
      </w:r>
      <w:r>
        <w:t xml:space="preserve"> (5th ed.). Routledge. </w:t>
      </w:r>
    </w:p>
    <w:p w14:paraId="2F3A4194" w14:textId="77777777" w:rsidR="00735791" w:rsidRDefault="00000000">
      <w:pPr>
        <w:spacing w:after="0"/>
        <w:ind w:left="525" w:right="0" w:hanging="540"/>
      </w:pPr>
      <w:r>
        <w:t xml:space="preserve">Fombrun, C. J., Gardberg, N. A., &amp; Sever, J. M. (2000). The reputation quotient. </w:t>
      </w:r>
      <w:r>
        <w:rPr>
          <w:i/>
        </w:rPr>
        <w:t>Journal of Brand Management, 7</w:t>
      </w:r>
      <w:r>
        <w:t xml:space="preserve">(4), 241–255. </w:t>
      </w:r>
    </w:p>
    <w:p w14:paraId="68F2A966" w14:textId="77777777" w:rsidR="00735791" w:rsidRDefault="00000000">
      <w:pPr>
        <w:spacing w:after="0"/>
        <w:ind w:left="525" w:right="0" w:hanging="540"/>
      </w:pPr>
      <w:r>
        <w:t xml:space="preserve">Freeman, R. E., Phillips, R., &amp; Sisodia, R. (2020). </w:t>
      </w:r>
      <w:r>
        <w:rPr>
          <w:i/>
        </w:rPr>
        <w:t>The power of and: Responsible business without trade-offs</w:t>
      </w:r>
      <w:r>
        <w:t xml:space="preserve">. Columbia University Press. </w:t>
      </w:r>
    </w:p>
    <w:p w14:paraId="405997B4" w14:textId="77777777" w:rsidR="00735791" w:rsidRDefault="00000000">
      <w:pPr>
        <w:spacing w:after="0" w:line="249" w:lineRule="auto"/>
        <w:ind w:left="535" w:right="0" w:hanging="550"/>
        <w:jc w:val="left"/>
      </w:pPr>
      <w:r>
        <w:t xml:space="preserve">Goldblatt, J. (2018). </w:t>
      </w:r>
      <w:r>
        <w:rPr>
          <w:i/>
        </w:rPr>
        <w:t>Special Events: Creating and Sustaining a New World for Celebration</w:t>
      </w:r>
      <w:r>
        <w:t xml:space="preserve"> (8th ed.). Wiley. </w:t>
      </w:r>
    </w:p>
    <w:p w14:paraId="481DB293" w14:textId="77777777" w:rsidR="00735791" w:rsidRDefault="00000000">
      <w:pPr>
        <w:spacing w:after="0"/>
        <w:ind w:left="525" w:right="0" w:hanging="540"/>
      </w:pPr>
      <w:r>
        <w:t xml:space="preserve">Grunig, J. E., Grunig, L. A., &amp; Dozier, D. M. (2002). </w:t>
      </w:r>
      <w:r>
        <w:rPr>
          <w:i/>
        </w:rPr>
        <w:t>Excellent Public Relations and Effective Organizations</w:t>
      </w:r>
      <w:r>
        <w:t xml:space="preserve">. Lawrence Erlbaum Associates. </w:t>
      </w:r>
    </w:p>
    <w:p w14:paraId="3658979B" w14:textId="77777777" w:rsidR="00735791" w:rsidRDefault="00000000">
      <w:pPr>
        <w:spacing w:after="12"/>
        <w:ind w:left="-5" w:right="0"/>
      </w:pPr>
      <w:r>
        <w:t xml:space="preserve">Grunig, J. E., &amp; Hunt, T. (1984). </w:t>
      </w:r>
      <w:r>
        <w:rPr>
          <w:i/>
        </w:rPr>
        <w:t>Managing Public Relations</w:t>
      </w:r>
      <w:r>
        <w:t xml:space="preserve">. Holt, Rinehart and Winston. </w:t>
      </w:r>
    </w:p>
    <w:p w14:paraId="7FBCE5DA" w14:textId="77777777" w:rsidR="00735791" w:rsidRDefault="00000000">
      <w:pPr>
        <w:spacing w:after="0"/>
        <w:ind w:left="525" w:right="0" w:hanging="540"/>
      </w:pPr>
      <w:r>
        <w:t xml:space="preserve">Hair, J. F., Black, W. C., Babin, B. J., &amp; Anderson, R. E. (2022). </w:t>
      </w:r>
      <w:r>
        <w:rPr>
          <w:i/>
        </w:rPr>
        <w:t>Multivariate data analysis</w:t>
      </w:r>
      <w:r>
        <w:t xml:space="preserve"> (9th ed.). Cengage. </w:t>
      </w:r>
    </w:p>
    <w:p w14:paraId="0CCAE684" w14:textId="77777777" w:rsidR="00735791" w:rsidRDefault="00000000">
      <w:pPr>
        <w:spacing w:after="12"/>
        <w:ind w:left="-5" w:right="0"/>
      </w:pPr>
      <w:r>
        <w:t xml:space="preserve">Hall, E. T. (1976). </w:t>
      </w:r>
      <w:r>
        <w:rPr>
          <w:i/>
        </w:rPr>
        <w:t>Beyond Culture.</w:t>
      </w:r>
      <w:r>
        <w:t xml:space="preserve"> Anchor Books. </w:t>
      </w:r>
    </w:p>
    <w:p w14:paraId="5EFA156A" w14:textId="77777777" w:rsidR="00735791" w:rsidRDefault="00000000">
      <w:pPr>
        <w:spacing w:after="0" w:line="249" w:lineRule="auto"/>
        <w:ind w:left="535" w:right="0" w:hanging="550"/>
        <w:jc w:val="left"/>
      </w:pPr>
      <w:r>
        <w:t xml:space="preserve">Hamilton, K., &amp; Langhorne, R. (2011). </w:t>
      </w:r>
      <w:r>
        <w:rPr>
          <w:i/>
        </w:rPr>
        <w:t>The Practice of Diplomacy: Its Evolution, Theory and Administration</w:t>
      </w:r>
      <w:r>
        <w:t xml:space="preserve"> (2nd ed.). Routledge. </w:t>
      </w:r>
    </w:p>
    <w:p w14:paraId="3B147DF1" w14:textId="77777777" w:rsidR="00735791" w:rsidRDefault="00000000">
      <w:pPr>
        <w:spacing w:after="0"/>
        <w:ind w:left="-5" w:right="0"/>
      </w:pPr>
      <w:r>
        <w:t xml:space="preserve">Hammersley, M., &amp; Atkinson, P. (2019). </w:t>
      </w:r>
      <w:r>
        <w:rPr>
          <w:i/>
        </w:rPr>
        <w:t>Ethnography: Principles in practice</w:t>
      </w:r>
      <w:r>
        <w:t xml:space="preserve"> (4th ed.). Routledge. Heath, R. L. (2013). </w:t>
      </w:r>
      <w:r>
        <w:rPr>
          <w:i/>
        </w:rPr>
        <w:t>The Encyclopedia of Public Relations.</w:t>
      </w:r>
      <w:r>
        <w:t xml:space="preserve"> Sage Publications. </w:t>
      </w:r>
    </w:p>
    <w:p w14:paraId="1C3058C0" w14:textId="77777777" w:rsidR="00735791" w:rsidRDefault="00000000">
      <w:pPr>
        <w:spacing w:after="0"/>
        <w:ind w:left="525" w:right="0" w:hanging="540"/>
      </w:pPr>
      <w:r>
        <w:t xml:space="preserve">Hofstede, G., Hofstede, G. J., &amp; Minkov, M. (2010). </w:t>
      </w:r>
      <w:r>
        <w:rPr>
          <w:i/>
        </w:rPr>
        <w:t>Cultures and Organizations: Software of the Mind</w:t>
      </w:r>
      <w:r>
        <w:t xml:space="preserve"> (3rd ed.). McGraw-Hill. </w:t>
      </w:r>
    </w:p>
    <w:p w14:paraId="05C97B32" w14:textId="77777777" w:rsidR="00735791" w:rsidRDefault="00000000">
      <w:pPr>
        <w:spacing w:after="0"/>
        <w:ind w:left="525" w:right="0" w:hanging="540"/>
      </w:pPr>
      <w:r>
        <w:t xml:space="preserve">Institute of Directors. (2020). </w:t>
      </w:r>
      <w:r>
        <w:rPr>
          <w:i/>
        </w:rPr>
        <w:t>Corporate governance guidance and principles</w:t>
      </w:r>
      <w:r>
        <w:t xml:space="preserve">. Institute of Directors. </w:t>
      </w:r>
    </w:p>
    <w:p w14:paraId="1D87DE8B" w14:textId="77777777" w:rsidR="00735791" w:rsidRDefault="00000000">
      <w:pPr>
        <w:spacing w:after="0"/>
        <w:ind w:left="525" w:right="0" w:hanging="540"/>
      </w:pPr>
      <w:r>
        <w:t xml:space="preserve">Kent, M. L., &amp; Taylor, M. (2021). Public relations and digital communication. </w:t>
      </w:r>
      <w:r>
        <w:rPr>
          <w:i/>
        </w:rPr>
        <w:t>Public Relations Review, 47</w:t>
      </w:r>
      <w:r>
        <w:t xml:space="preserve">(3). </w:t>
      </w:r>
    </w:p>
    <w:p w14:paraId="007148E0" w14:textId="77777777" w:rsidR="00735791" w:rsidRDefault="00000000">
      <w:pPr>
        <w:spacing w:after="0"/>
        <w:ind w:left="525" w:right="0" w:hanging="540"/>
      </w:pPr>
      <w:r>
        <w:t xml:space="preserve">Ledingham, J. A., &amp; Bruning, S. D. (2000). </w:t>
      </w:r>
      <w:r>
        <w:rPr>
          <w:i/>
        </w:rPr>
        <w:t>Public Relations as Relationship Management.</w:t>
      </w:r>
      <w:r>
        <w:t xml:space="preserve"> Lawrence Erlbaum Associates. </w:t>
      </w:r>
    </w:p>
    <w:p w14:paraId="15056CB4" w14:textId="77777777" w:rsidR="00735791" w:rsidRDefault="00000000">
      <w:pPr>
        <w:spacing w:after="0"/>
        <w:ind w:left="525" w:right="0" w:hanging="540"/>
      </w:pPr>
      <w:r>
        <w:t xml:space="preserve">Lee, M., Neeley, G., &amp; Stewart, K. (2012). </w:t>
      </w:r>
      <w:r>
        <w:rPr>
          <w:i/>
        </w:rPr>
        <w:t>The Practice of Government Public Relations</w:t>
      </w:r>
      <w:r>
        <w:t xml:space="preserve">. CRC Press. </w:t>
      </w:r>
    </w:p>
    <w:p w14:paraId="0C27F921" w14:textId="77777777" w:rsidR="00735791" w:rsidRDefault="00000000">
      <w:pPr>
        <w:spacing w:after="0" w:line="249" w:lineRule="auto"/>
        <w:ind w:left="535" w:right="0" w:hanging="550"/>
        <w:jc w:val="left"/>
      </w:pPr>
      <w:r>
        <w:t xml:space="preserve">Kvale, S., &amp; Brinkmann, S. (2015). </w:t>
      </w:r>
      <w:r>
        <w:rPr>
          <w:i/>
        </w:rPr>
        <w:t>InterViews: Learning the craft of qualitative research interviewing</w:t>
      </w:r>
      <w:r>
        <w:t xml:space="preserve"> (3rd ed.). Sage. </w:t>
      </w:r>
    </w:p>
    <w:p w14:paraId="748D2DC1" w14:textId="77777777" w:rsidR="00735791" w:rsidRDefault="00000000">
      <w:pPr>
        <w:spacing w:after="0"/>
        <w:ind w:left="525" w:right="0" w:hanging="540"/>
      </w:pPr>
      <w:r>
        <w:t xml:space="preserve">Ledingham, J. A., &amp; Bruning, S. D. (2000). </w:t>
      </w:r>
      <w:r>
        <w:rPr>
          <w:i/>
        </w:rPr>
        <w:t>Public relations as relationship management</w:t>
      </w:r>
      <w:r>
        <w:t xml:space="preserve">. Lawrence Erlbaum Associates. </w:t>
      </w:r>
    </w:p>
    <w:p w14:paraId="67214799" w14:textId="77777777" w:rsidR="00735791" w:rsidRDefault="00000000">
      <w:pPr>
        <w:spacing w:after="0" w:line="249" w:lineRule="auto"/>
        <w:ind w:left="535" w:right="0" w:hanging="550"/>
        <w:jc w:val="left"/>
      </w:pPr>
      <w:r>
        <w:t xml:space="preserve">Neuman, W. L. (2014). </w:t>
      </w:r>
      <w:r>
        <w:rPr>
          <w:i/>
        </w:rPr>
        <w:t>Social research methods: Qualitative and quantitative approaches</w:t>
      </w:r>
      <w:r>
        <w:t xml:space="preserve"> (7th ed.). Pearson. </w:t>
      </w:r>
    </w:p>
    <w:p w14:paraId="02C4B232" w14:textId="77777777" w:rsidR="00735791" w:rsidRDefault="00000000">
      <w:pPr>
        <w:spacing w:after="0" w:line="249" w:lineRule="auto"/>
        <w:ind w:left="-15" w:right="0" w:firstLine="0"/>
        <w:jc w:val="left"/>
      </w:pPr>
      <w:r>
        <w:t xml:space="preserve">Resnik, D. B. (2020). </w:t>
      </w:r>
      <w:r>
        <w:rPr>
          <w:i/>
        </w:rPr>
        <w:t>The ethics of research with human subjects</w:t>
      </w:r>
      <w:r>
        <w:t xml:space="preserve">. Springer. </w:t>
      </w:r>
    </w:p>
    <w:p w14:paraId="4EF4D412" w14:textId="77777777" w:rsidR="00735791" w:rsidRDefault="00000000">
      <w:pPr>
        <w:spacing w:after="0"/>
        <w:ind w:left="525" w:right="0" w:hanging="540"/>
      </w:pPr>
      <w:r>
        <w:t xml:space="preserve">OECD. (2021). </w:t>
      </w:r>
      <w:r>
        <w:rPr>
          <w:i/>
        </w:rPr>
        <w:t>Government at a Glance 2021</w:t>
      </w:r>
      <w:r>
        <w:t xml:space="preserve">. Paris: Organisation for Economic Co-operation and Development. </w:t>
      </w:r>
    </w:p>
    <w:p w14:paraId="2178A151" w14:textId="77777777" w:rsidR="00735791" w:rsidRDefault="00000000">
      <w:pPr>
        <w:spacing w:after="0"/>
        <w:ind w:left="525" w:right="0" w:hanging="540"/>
      </w:pPr>
      <w:r>
        <w:t xml:space="preserve">Samovar, L. A., Porter, R. E., McDaniel, E. R., &amp; Roy, C. S. (2017). </w:t>
      </w:r>
      <w:r>
        <w:rPr>
          <w:i/>
        </w:rPr>
        <w:t>Communication Between Cultures</w:t>
      </w:r>
      <w:r>
        <w:t xml:space="preserve"> (9th ed.). Cengage Learning. </w:t>
      </w:r>
    </w:p>
    <w:p w14:paraId="2BD164B0" w14:textId="77777777" w:rsidR="00735791" w:rsidRDefault="00000000">
      <w:pPr>
        <w:spacing w:after="0" w:line="249" w:lineRule="auto"/>
        <w:ind w:left="535" w:right="0" w:hanging="550"/>
        <w:jc w:val="left"/>
      </w:pPr>
      <w:r>
        <w:t xml:space="preserve">Scott, W. R. (2014). </w:t>
      </w:r>
      <w:r>
        <w:rPr>
          <w:i/>
        </w:rPr>
        <w:t>Institutions and Organizations: Ideas, Interests and Identities</w:t>
      </w:r>
      <w:r>
        <w:t xml:space="preserve"> (4th ed.). Sage Publications. </w:t>
      </w:r>
    </w:p>
    <w:p w14:paraId="1B1079A0" w14:textId="77777777" w:rsidR="00735791" w:rsidRDefault="00000000">
      <w:pPr>
        <w:spacing w:after="0" w:line="249" w:lineRule="auto"/>
        <w:ind w:left="535" w:right="0" w:hanging="550"/>
        <w:jc w:val="left"/>
      </w:pPr>
      <w:r>
        <w:t xml:space="preserve">Sriramesh, K., &amp; Verčič, D. (Eds.). (2021). </w:t>
      </w:r>
      <w:r>
        <w:rPr>
          <w:i/>
        </w:rPr>
        <w:t>The Global Public Relations Handbook: Theory, Research, and Practice</w:t>
      </w:r>
      <w:r>
        <w:t xml:space="preserve"> (4th ed.). Routledge. </w:t>
      </w:r>
    </w:p>
    <w:p w14:paraId="62169FC0" w14:textId="77777777" w:rsidR="00735791" w:rsidRDefault="00000000">
      <w:pPr>
        <w:spacing w:after="12"/>
        <w:ind w:left="-5" w:right="0"/>
      </w:pPr>
      <w:r>
        <w:t xml:space="preserve">Spradley, J. P. (2016). </w:t>
      </w:r>
      <w:r>
        <w:rPr>
          <w:i/>
        </w:rPr>
        <w:t>Participant observation</w:t>
      </w:r>
      <w:r>
        <w:t xml:space="preserve">. Waveland Press. </w:t>
      </w:r>
    </w:p>
    <w:p w14:paraId="18FB8489" w14:textId="77777777" w:rsidR="00735791" w:rsidRDefault="00000000">
      <w:pPr>
        <w:spacing w:after="0" w:line="249" w:lineRule="auto"/>
        <w:ind w:left="-15" w:right="0" w:firstLine="0"/>
        <w:jc w:val="left"/>
      </w:pPr>
      <w:r>
        <w:t xml:space="preserve">United Nations. (2019). </w:t>
      </w:r>
      <w:r>
        <w:rPr>
          <w:i/>
        </w:rPr>
        <w:t>United Nations protocol and liaison service handbook</w:t>
      </w:r>
      <w:r>
        <w:t xml:space="preserve">. </w:t>
      </w:r>
    </w:p>
    <w:p w14:paraId="041831F2" w14:textId="77777777" w:rsidR="00735791" w:rsidRDefault="00000000">
      <w:pPr>
        <w:spacing w:after="0" w:line="249" w:lineRule="auto"/>
        <w:ind w:left="-15" w:right="0" w:firstLine="0"/>
        <w:jc w:val="left"/>
      </w:pPr>
      <w:r>
        <w:t xml:space="preserve">Yin, R. K. (2018). </w:t>
      </w:r>
      <w:r>
        <w:rPr>
          <w:i/>
        </w:rPr>
        <w:t>Case study research and applications: Design and methods</w:t>
      </w:r>
      <w:r>
        <w:t xml:space="preserve"> (6th ed.). Sage. </w:t>
      </w:r>
    </w:p>
    <w:sectPr w:rsidR="00735791">
      <w:headerReference w:type="even" r:id="rId7"/>
      <w:headerReference w:type="default" r:id="rId8"/>
      <w:footerReference w:type="even" r:id="rId9"/>
      <w:footerReference w:type="default" r:id="rId10"/>
      <w:headerReference w:type="first" r:id="rId11"/>
      <w:footerReference w:type="first" r:id="rId12"/>
      <w:pgSz w:w="12240" w:h="15840"/>
      <w:pgMar w:top="2218" w:right="1434" w:bottom="1444" w:left="1440" w:header="555" w:footer="718" w:gutter="0"/>
      <w:pgNumType w:start="5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BE1D13" w14:textId="77777777" w:rsidR="005F4AC2" w:rsidRDefault="005F4AC2">
      <w:pPr>
        <w:spacing w:after="0" w:line="240" w:lineRule="auto"/>
      </w:pPr>
      <w:r>
        <w:separator/>
      </w:r>
    </w:p>
  </w:endnote>
  <w:endnote w:type="continuationSeparator" w:id="0">
    <w:p w14:paraId="07A716DF" w14:textId="77777777" w:rsidR="005F4AC2" w:rsidRDefault="005F4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ECB34" w14:textId="77777777" w:rsidR="00735791" w:rsidRDefault="00000000">
    <w:pPr>
      <w:spacing w:after="0" w:line="259" w:lineRule="auto"/>
      <w:ind w:left="0" w:right="5" w:firstLine="0"/>
      <w:jc w:val="center"/>
    </w:pPr>
    <w:r>
      <w:fldChar w:fldCharType="begin"/>
    </w:r>
    <w:r>
      <w:instrText xml:space="preserve"> PAGE   \* MERGEFORMAT </w:instrText>
    </w:r>
    <w:r>
      <w:fldChar w:fldCharType="separate"/>
    </w:r>
    <w:r>
      <w:rPr>
        <w:rFonts w:ascii="Calibri" w:eastAsia="Calibri" w:hAnsi="Calibri" w:cs="Calibri"/>
        <w:sz w:val="22"/>
      </w:rPr>
      <w:t>50</w:t>
    </w:r>
    <w:r>
      <w:rPr>
        <w:rFonts w:ascii="Calibri" w:eastAsia="Calibri" w:hAnsi="Calibri" w:cs="Calibri"/>
        <w:sz w:val="22"/>
      </w:rPr>
      <w:fldChar w:fldCharType="end"/>
    </w:r>
    <w:r>
      <w:rPr>
        <w:rFonts w:ascii="Calibri" w:eastAsia="Calibri" w:hAnsi="Calibri" w:cs="Calibri"/>
        <w:sz w:val="22"/>
      </w:rPr>
      <w:t xml:space="preserve"> </w:t>
    </w:r>
  </w:p>
  <w:p w14:paraId="2B565E43" w14:textId="77777777" w:rsidR="00735791" w:rsidRDefault="00000000">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AB7AE" w14:textId="77777777" w:rsidR="00735791" w:rsidRDefault="00000000">
    <w:pPr>
      <w:spacing w:after="0" w:line="259" w:lineRule="auto"/>
      <w:ind w:left="0" w:right="5" w:firstLine="0"/>
      <w:jc w:val="center"/>
    </w:pPr>
    <w:r>
      <w:fldChar w:fldCharType="begin"/>
    </w:r>
    <w:r>
      <w:instrText xml:space="preserve"> PAGE   \* MERGEFORMAT </w:instrText>
    </w:r>
    <w:r>
      <w:fldChar w:fldCharType="separate"/>
    </w:r>
    <w:r>
      <w:rPr>
        <w:rFonts w:ascii="Calibri" w:eastAsia="Calibri" w:hAnsi="Calibri" w:cs="Calibri"/>
        <w:sz w:val="22"/>
      </w:rPr>
      <w:t>50</w:t>
    </w:r>
    <w:r>
      <w:rPr>
        <w:rFonts w:ascii="Calibri" w:eastAsia="Calibri" w:hAnsi="Calibri" w:cs="Calibri"/>
        <w:sz w:val="22"/>
      </w:rPr>
      <w:fldChar w:fldCharType="end"/>
    </w:r>
    <w:r>
      <w:rPr>
        <w:rFonts w:ascii="Calibri" w:eastAsia="Calibri" w:hAnsi="Calibri" w:cs="Calibri"/>
        <w:sz w:val="22"/>
      </w:rPr>
      <w:t xml:space="preserve"> </w:t>
    </w:r>
  </w:p>
  <w:p w14:paraId="33256774" w14:textId="77777777" w:rsidR="00735791" w:rsidRDefault="00000000">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98185" w14:textId="77777777" w:rsidR="00735791" w:rsidRDefault="00000000">
    <w:pPr>
      <w:spacing w:after="0" w:line="259" w:lineRule="auto"/>
      <w:ind w:left="0" w:right="5" w:firstLine="0"/>
      <w:jc w:val="center"/>
    </w:pPr>
    <w:r>
      <w:fldChar w:fldCharType="begin"/>
    </w:r>
    <w:r>
      <w:instrText xml:space="preserve"> PAGE   \* MERGEFORMAT </w:instrText>
    </w:r>
    <w:r>
      <w:fldChar w:fldCharType="separate"/>
    </w:r>
    <w:r>
      <w:rPr>
        <w:rFonts w:ascii="Calibri" w:eastAsia="Calibri" w:hAnsi="Calibri" w:cs="Calibri"/>
        <w:sz w:val="22"/>
      </w:rPr>
      <w:t>50</w:t>
    </w:r>
    <w:r>
      <w:rPr>
        <w:rFonts w:ascii="Calibri" w:eastAsia="Calibri" w:hAnsi="Calibri" w:cs="Calibri"/>
        <w:sz w:val="22"/>
      </w:rPr>
      <w:fldChar w:fldCharType="end"/>
    </w:r>
    <w:r>
      <w:rPr>
        <w:rFonts w:ascii="Calibri" w:eastAsia="Calibri" w:hAnsi="Calibri" w:cs="Calibri"/>
        <w:sz w:val="22"/>
      </w:rPr>
      <w:t xml:space="preserve"> </w:t>
    </w:r>
  </w:p>
  <w:p w14:paraId="426A8610" w14:textId="77777777" w:rsidR="00735791" w:rsidRDefault="00000000">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3EC0F0" w14:textId="77777777" w:rsidR="005F4AC2" w:rsidRDefault="005F4AC2">
      <w:pPr>
        <w:spacing w:after="0" w:line="240" w:lineRule="auto"/>
      </w:pPr>
      <w:r>
        <w:separator/>
      </w:r>
    </w:p>
  </w:footnote>
  <w:footnote w:type="continuationSeparator" w:id="0">
    <w:p w14:paraId="7684915D" w14:textId="77777777" w:rsidR="005F4AC2" w:rsidRDefault="005F4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ADCC5" w14:textId="77777777" w:rsidR="00735791" w:rsidRDefault="00000000">
    <w:pPr>
      <w:spacing w:after="0" w:line="259" w:lineRule="auto"/>
      <w:ind w:left="5761" w:right="0" w:firstLine="0"/>
      <w:jc w:val="left"/>
    </w:pPr>
    <w:r>
      <w:rPr>
        <w:b/>
        <w:i/>
        <w:color w:val="2F5496"/>
        <w:sz w:val="32"/>
      </w:rPr>
      <w:t>Garu Academic Journal</w:t>
    </w:r>
    <w:r>
      <w:rPr>
        <w:b/>
        <w:sz w:val="32"/>
      </w:rPr>
      <w:t xml:space="preserve"> </w:t>
    </w:r>
  </w:p>
  <w:p w14:paraId="50C43DC5" w14:textId="77777777" w:rsidR="00735791" w:rsidRDefault="00000000">
    <w:pPr>
      <w:spacing w:after="0" w:line="259" w:lineRule="auto"/>
      <w:ind w:left="5761" w:right="0" w:firstLine="0"/>
      <w:jc w:val="left"/>
    </w:pPr>
    <w:r>
      <w:rPr>
        <w:b/>
        <w:i/>
        <w:sz w:val="26"/>
      </w:rPr>
      <w:t xml:space="preserve">August, 2026, Vol 5, No. 1  </w:t>
    </w:r>
  </w:p>
  <w:p w14:paraId="13827DFE" w14:textId="77777777" w:rsidR="00735791" w:rsidRDefault="00000000">
    <w:pPr>
      <w:tabs>
        <w:tab w:val="center" w:pos="4682"/>
      </w:tabs>
      <w:spacing w:after="0" w:line="259" w:lineRule="auto"/>
      <w:ind w:left="0" w:right="0" w:firstLine="0"/>
      <w:jc w:val="left"/>
    </w:pPr>
    <w:r>
      <w:rPr>
        <w:b/>
        <w:sz w:val="26"/>
      </w:rPr>
      <w:t xml:space="preserve"> </w:t>
    </w:r>
    <w:r>
      <w:rPr>
        <w:b/>
        <w:sz w:val="26"/>
      </w:rPr>
      <w:tab/>
      <w:t xml:space="preserve">                                                            </w:t>
    </w:r>
    <w:r>
      <w:rPr>
        <w:b/>
        <w:color w:val="2F5496"/>
        <w:sz w:val="26"/>
      </w:rPr>
      <w:t xml:space="preserve">ISSN- 2384-6461  </w:t>
    </w:r>
  </w:p>
  <w:p w14:paraId="1028416F" w14:textId="77777777" w:rsidR="00735791" w:rsidRDefault="00000000">
    <w:pPr>
      <w:tabs>
        <w:tab w:val="center" w:pos="4682"/>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39C59F63" wp14:editId="6D80665D">
              <wp:simplePos x="0" y="0"/>
              <wp:positionH relativeFrom="page">
                <wp:posOffset>0</wp:posOffset>
              </wp:positionH>
              <wp:positionV relativeFrom="page">
                <wp:posOffset>352425</wp:posOffset>
              </wp:positionV>
              <wp:extent cx="7772400" cy="906780"/>
              <wp:effectExtent l="0" t="0" r="0" b="0"/>
              <wp:wrapNone/>
              <wp:docPr id="26693" name="Group 26693"/>
              <wp:cNvGraphicFramePr/>
              <a:graphic xmlns:a="http://schemas.openxmlformats.org/drawingml/2006/main">
                <a:graphicData uri="http://schemas.microsoft.com/office/word/2010/wordprocessingGroup">
                  <wpg:wgp>
                    <wpg:cNvGrpSpPr/>
                    <wpg:grpSpPr>
                      <a:xfrm>
                        <a:off x="0" y="0"/>
                        <a:ext cx="7772400" cy="906780"/>
                        <a:chOff x="0" y="0"/>
                        <a:chExt cx="7772400" cy="906780"/>
                      </a:xfrm>
                    </wpg:grpSpPr>
                    <pic:pic xmlns:pic="http://schemas.openxmlformats.org/drawingml/2006/picture">
                      <pic:nvPicPr>
                        <pic:cNvPr id="26694" name="Picture 26694"/>
                        <pic:cNvPicPr/>
                      </pic:nvPicPr>
                      <pic:blipFill>
                        <a:blip r:embed="rId1"/>
                        <a:stretch>
                          <a:fillRect/>
                        </a:stretch>
                      </pic:blipFill>
                      <pic:spPr>
                        <a:xfrm>
                          <a:off x="819150" y="0"/>
                          <a:ext cx="704850" cy="752475"/>
                        </a:xfrm>
                        <a:prstGeom prst="rect">
                          <a:avLst/>
                        </a:prstGeom>
                      </pic:spPr>
                    </pic:pic>
                    <wps:wsp>
                      <wps:cNvPr id="26695" name="Shape 26695"/>
                      <wps:cNvSpPr/>
                      <wps:spPr>
                        <a:xfrm>
                          <a:off x="0" y="906780"/>
                          <a:ext cx="7772400" cy="0"/>
                        </a:xfrm>
                        <a:custGeom>
                          <a:avLst/>
                          <a:gdLst/>
                          <a:ahLst/>
                          <a:cxnLst/>
                          <a:rect l="0" t="0" r="0" b="0"/>
                          <a:pathLst>
                            <a:path w="7772400">
                              <a:moveTo>
                                <a:pt x="7772400" y="0"/>
                              </a:moveTo>
                              <a:lnTo>
                                <a:pt x="0" y="0"/>
                              </a:lnTo>
                            </a:path>
                          </a:pathLst>
                        </a:custGeom>
                        <a:ln w="2857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6693" style="width:612pt;height:71.4pt;position:absolute;z-index:-2147483631;mso-position-horizontal-relative:page;mso-position-horizontal:absolute;margin-left:0pt;mso-position-vertical-relative:page;margin-top:27.75pt;" coordsize="77724,9067">
              <v:shape id="Picture 26694" style="position:absolute;width:7048;height:7524;left:8191;top:0;" filled="f">
                <v:imagedata r:id="rId7"/>
              </v:shape>
              <v:shape id="Shape 26695" style="position:absolute;width:77724;height:0;left:0;top:9067;" coordsize="7772400,0" path="m7772400,0l0,0">
                <v:stroke weight="2.25pt" endcap="flat" joinstyle="miter" miterlimit="10" on="true" color="#000000"/>
                <v:fill on="false" color="#000000" opacity="0"/>
              </v:shape>
            </v:group>
          </w:pict>
        </mc:Fallback>
      </mc:AlternateContent>
    </w:r>
    <w:r>
      <w:rPr>
        <w:b/>
        <w:i/>
        <w:color w:val="2F5496"/>
        <w:sz w:val="22"/>
      </w:rPr>
      <w:t xml:space="preserve"> </w:t>
    </w:r>
    <w:r>
      <w:rPr>
        <w:b/>
        <w:i/>
        <w:color w:val="2F5496"/>
        <w:sz w:val="22"/>
      </w:rPr>
      <w:tab/>
      <w:t xml:space="preserve">                                                                                   https://www.garujournal.com</w:t>
    </w:r>
    <w:r>
      <w:rPr>
        <w:b/>
        <w:sz w:val="26"/>
      </w:rPr>
      <w:t xml:space="preserve"> </w:t>
    </w:r>
  </w:p>
  <w:p w14:paraId="7362EFBA" w14:textId="77777777" w:rsidR="00735791" w:rsidRDefault="00000000">
    <w:pPr>
      <w:spacing w:after="0" w:line="259" w:lineRule="auto"/>
      <w:ind w:left="0" w:right="0" w:firstLine="0"/>
      <w:jc w:val="left"/>
    </w:pPr>
    <w:r>
      <w:rPr>
        <w:rFonts w:ascii="Calibri" w:eastAsia="Calibri" w:hAnsi="Calibri" w:cs="Calibri"/>
        <w:sz w:val="22"/>
      </w:rPr>
      <w:t xml:space="preserve"> </w:t>
    </w:r>
  </w:p>
  <w:p w14:paraId="35939973" w14:textId="77777777" w:rsidR="00735791"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71E3EFF9" wp14:editId="507A1CC4">
              <wp:simplePos x="0" y="0"/>
              <wp:positionH relativeFrom="page">
                <wp:posOffset>914400</wp:posOffset>
              </wp:positionH>
              <wp:positionV relativeFrom="page">
                <wp:posOffset>2980055</wp:posOffset>
              </wp:positionV>
              <wp:extent cx="5941060" cy="4585335"/>
              <wp:effectExtent l="0" t="0" r="0" b="0"/>
              <wp:wrapNone/>
              <wp:docPr id="26699" name="Group 26699"/>
              <wp:cNvGraphicFramePr/>
              <a:graphic xmlns:a="http://schemas.openxmlformats.org/drawingml/2006/main">
                <a:graphicData uri="http://schemas.microsoft.com/office/word/2010/wordprocessingGroup">
                  <wpg:wgp>
                    <wpg:cNvGrpSpPr/>
                    <wpg:grpSpPr>
                      <a:xfrm>
                        <a:off x="0" y="0"/>
                        <a:ext cx="5941060" cy="4585335"/>
                        <a:chOff x="0" y="0"/>
                        <a:chExt cx="5941060" cy="4585335"/>
                      </a:xfrm>
                    </wpg:grpSpPr>
                    <pic:pic xmlns:pic="http://schemas.openxmlformats.org/drawingml/2006/picture">
                      <pic:nvPicPr>
                        <pic:cNvPr id="26700" name="Picture 26700"/>
                        <pic:cNvPicPr/>
                      </pic:nvPicPr>
                      <pic:blipFill>
                        <a:blip r:embed="rId8"/>
                        <a:stretch>
                          <a:fillRect/>
                        </a:stretch>
                      </pic:blipFill>
                      <pic:spPr>
                        <a:xfrm>
                          <a:off x="0" y="0"/>
                          <a:ext cx="5941060" cy="4585335"/>
                        </a:xfrm>
                        <a:prstGeom prst="rect">
                          <a:avLst/>
                        </a:prstGeom>
                      </pic:spPr>
                    </pic:pic>
                  </wpg:wgp>
                </a:graphicData>
              </a:graphic>
            </wp:anchor>
          </w:drawing>
        </mc:Choice>
        <mc:Fallback xmlns:a="http://schemas.openxmlformats.org/drawingml/2006/main">
          <w:pict>
            <v:group id="Group 26699" style="width:467.8pt;height:361.05pt;position:absolute;z-index:-2147483648;mso-position-horizontal-relative:page;mso-position-horizontal:absolute;margin-left:72pt;mso-position-vertical-relative:page;margin-top:234.65pt;" coordsize="59410,45853">
              <v:shape id="Picture 26700" style="position:absolute;width:59410;height:45853;left:0;top:0;" filled="f">
                <v:imagedata r:id="rId9"/>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D292A" w14:textId="77777777" w:rsidR="00735791" w:rsidRDefault="00000000">
    <w:pPr>
      <w:spacing w:after="0" w:line="259" w:lineRule="auto"/>
      <w:ind w:left="5761" w:right="0" w:firstLine="0"/>
      <w:jc w:val="left"/>
    </w:pPr>
    <w:r>
      <w:rPr>
        <w:b/>
        <w:i/>
        <w:color w:val="2F5496"/>
        <w:sz w:val="32"/>
      </w:rPr>
      <w:t>Garu Academic Journal</w:t>
    </w:r>
    <w:r>
      <w:rPr>
        <w:b/>
        <w:sz w:val="32"/>
      </w:rPr>
      <w:t xml:space="preserve"> </w:t>
    </w:r>
  </w:p>
  <w:p w14:paraId="7A70EED2" w14:textId="77777777" w:rsidR="00735791" w:rsidRDefault="00000000">
    <w:pPr>
      <w:spacing w:after="0" w:line="259" w:lineRule="auto"/>
      <w:ind w:left="5761" w:right="0" w:firstLine="0"/>
      <w:jc w:val="left"/>
    </w:pPr>
    <w:r>
      <w:rPr>
        <w:b/>
        <w:i/>
        <w:sz w:val="26"/>
      </w:rPr>
      <w:t xml:space="preserve">August, 2026, Vol 5, No. 1  </w:t>
    </w:r>
  </w:p>
  <w:p w14:paraId="5986E1D4" w14:textId="77777777" w:rsidR="00735791" w:rsidRDefault="00000000">
    <w:pPr>
      <w:tabs>
        <w:tab w:val="center" w:pos="4682"/>
      </w:tabs>
      <w:spacing w:after="0" w:line="259" w:lineRule="auto"/>
      <w:ind w:left="0" w:right="0" w:firstLine="0"/>
      <w:jc w:val="left"/>
    </w:pPr>
    <w:r>
      <w:rPr>
        <w:b/>
        <w:sz w:val="26"/>
      </w:rPr>
      <w:t xml:space="preserve"> </w:t>
    </w:r>
    <w:r>
      <w:rPr>
        <w:b/>
        <w:sz w:val="26"/>
      </w:rPr>
      <w:tab/>
      <w:t xml:space="preserve">                                                            </w:t>
    </w:r>
    <w:r>
      <w:rPr>
        <w:b/>
        <w:color w:val="2F5496"/>
        <w:sz w:val="26"/>
      </w:rPr>
      <w:t xml:space="preserve">ISSN- 2384-6461  </w:t>
    </w:r>
  </w:p>
  <w:p w14:paraId="26925F74" w14:textId="77777777" w:rsidR="00735791" w:rsidRDefault="00000000">
    <w:pPr>
      <w:tabs>
        <w:tab w:val="center" w:pos="4682"/>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77AE6809" wp14:editId="78DA237E">
              <wp:simplePos x="0" y="0"/>
              <wp:positionH relativeFrom="page">
                <wp:posOffset>0</wp:posOffset>
              </wp:positionH>
              <wp:positionV relativeFrom="page">
                <wp:posOffset>352425</wp:posOffset>
              </wp:positionV>
              <wp:extent cx="7772400" cy="906780"/>
              <wp:effectExtent l="0" t="0" r="0" b="0"/>
              <wp:wrapNone/>
              <wp:docPr id="26634" name="Group 26634"/>
              <wp:cNvGraphicFramePr/>
              <a:graphic xmlns:a="http://schemas.openxmlformats.org/drawingml/2006/main">
                <a:graphicData uri="http://schemas.microsoft.com/office/word/2010/wordprocessingGroup">
                  <wpg:wgp>
                    <wpg:cNvGrpSpPr/>
                    <wpg:grpSpPr>
                      <a:xfrm>
                        <a:off x="0" y="0"/>
                        <a:ext cx="7772400" cy="906780"/>
                        <a:chOff x="0" y="0"/>
                        <a:chExt cx="7772400" cy="906780"/>
                      </a:xfrm>
                    </wpg:grpSpPr>
                    <pic:pic xmlns:pic="http://schemas.openxmlformats.org/drawingml/2006/picture">
                      <pic:nvPicPr>
                        <pic:cNvPr id="26635" name="Picture 26635"/>
                        <pic:cNvPicPr/>
                      </pic:nvPicPr>
                      <pic:blipFill>
                        <a:blip r:embed="rId1"/>
                        <a:stretch>
                          <a:fillRect/>
                        </a:stretch>
                      </pic:blipFill>
                      <pic:spPr>
                        <a:xfrm>
                          <a:off x="819150" y="0"/>
                          <a:ext cx="704850" cy="752475"/>
                        </a:xfrm>
                        <a:prstGeom prst="rect">
                          <a:avLst/>
                        </a:prstGeom>
                      </pic:spPr>
                    </pic:pic>
                    <wps:wsp>
                      <wps:cNvPr id="26636" name="Shape 26636"/>
                      <wps:cNvSpPr/>
                      <wps:spPr>
                        <a:xfrm>
                          <a:off x="0" y="906780"/>
                          <a:ext cx="7772400" cy="0"/>
                        </a:xfrm>
                        <a:custGeom>
                          <a:avLst/>
                          <a:gdLst/>
                          <a:ahLst/>
                          <a:cxnLst/>
                          <a:rect l="0" t="0" r="0" b="0"/>
                          <a:pathLst>
                            <a:path w="7772400">
                              <a:moveTo>
                                <a:pt x="7772400" y="0"/>
                              </a:moveTo>
                              <a:lnTo>
                                <a:pt x="0" y="0"/>
                              </a:lnTo>
                            </a:path>
                          </a:pathLst>
                        </a:custGeom>
                        <a:ln w="2857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6634" style="width:612pt;height:71.4pt;position:absolute;z-index:-2147483631;mso-position-horizontal-relative:page;mso-position-horizontal:absolute;margin-left:0pt;mso-position-vertical-relative:page;margin-top:27.75pt;" coordsize="77724,9067">
              <v:shape id="Picture 26635" style="position:absolute;width:7048;height:7524;left:8191;top:0;" filled="f">
                <v:imagedata r:id="rId7"/>
              </v:shape>
              <v:shape id="Shape 26636" style="position:absolute;width:77724;height:0;left:0;top:9067;" coordsize="7772400,0" path="m7772400,0l0,0">
                <v:stroke weight="2.25pt" endcap="flat" joinstyle="miter" miterlimit="10" on="true" color="#000000"/>
                <v:fill on="false" color="#000000" opacity="0"/>
              </v:shape>
            </v:group>
          </w:pict>
        </mc:Fallback>
      </mc:AlternateContent>
    </w:r>
    <w:r>
      <w:rPr>
        <w:b/>
        <w:i/>
        <w:color w:val="2F5496"/>
        <w:sz w:val="22"/>
      </w:rPr>
      <w:t xml:space="preserve"> </w:t>
    </w:r>
    <w:r>
      <w:rPr>
        <w:b/>
        <w:i/>
        <w:color w:val="2F5496"/>
        <w:sz w:val="22"/>
      </w:rPr>
      <w:tab/>
      <w:t xml:space="preserve">                                                                                   https://www.garujournal.com</w:t>
    </w:r>
    <w:r>
      <w:rPr>
        <w:b/>
        <w:sz w:val="26"/>
      </w:rPr>
      <w:t xml:space="preserve"> </w:t>
    </w:r>
  </w:p>
  <w:p w14:paraId="5864AC06" w14:textId="77777777" w:rsidR="00735791" w:rsidRDefault="00000000">
    <w:pPr>
      <w:spacing w:after="0" w:line="259" w:lineRule="auto"/>
      <w:ind w:left="0" w:right="0" w:firstLine="0"/>
      <w:jc w:val="left"/>
    </w:pPr>
    <w:r>
      <w:rPr>
        <w:rFonts w:ascii="Calibri" w:eastAsia="Calibri" w:hAnsi="Calibri" w:cs="Calibri"/>
        <w:sz w:val="22"/>
      </w:rPr>
      <w:t xml:space="preserve"> </w:t>
    </w:r>
  </w:p>
  <w:p w14:paraId="29283594" w14:textId="77777777" w:rsidR="00735791"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63908D49" wp14:editId="3B8914BE">
              <wp:simplePos x="0" y="0"/>
              <wp:positionH relativeFrom="page">
                <wp:posOffset>914400</wp:posOffset>
              </wp:positionH>
              <wp:positionV relativeFrom="page">
                <wp:posOffset>2980055</wp:posOffset>
              </wp:positionV>
              <wp:extent cx="5941060" cy="4585335"/>
              <wp:effectExtent l="0" t="0" r="0" b="0"/>
              <wp:wrapNone/>
              <wp:docPr id="26640" name="Group 26640"/>
              <wp:cNvGraphicFramePr/>
              <a:graphic xmlns:a="http://schemas.openxmlformats.org/drawingml/2006/main">
                <a:graphicData uri="http://schemas.microsoft.com/office/word/2010/wordprocessingGroup">
                  <wpg:wgp>
                    <wpg:cNvGrpSpPr/>
                    <wpg:grpSpPr>
                      <a:xfrm>
                        <a:off x="0" y="0"/>
                        <a:ext cx="5941060" cy="4585335"/>
                        <a:chOff x="0" y="0"/>
                        <a:chExt cx="5941060" cy="4585335"/>
                      </a:xfrm>
                    </wpg:grpSpPr>
                    <pic:pic xmlns:pic="http://schemas.openxmlformats.org/drawingml/2006/picture">
                      <pic:nvPicPr>
                        <pic:cNvPr id="26641" name="Picture 26641"/>
                        <pic:cNvPicPr/>
                      </pic:nvPicPr>
                      <pic:blipFill>
                        <a:blip r:embed="rId8"/>
                        <a:stretch>
                          <a:fillRect/>
                        </a:stretch>
                      </pic:blipFill>
                      <pic:spPr>
                        <a:xfrm>
                          <a:off x="0" y="0"/>
                          <a:ext cx="5941060" cy="4585335"/>
                        </a:xfrm>
                        <a:prstGeom prst="rect">
                          <a:avLst/>
                        </a:prstGeom>
                      </pic:spPr>
                    </pic:pic>
                  </wpg:wgp>
                </a:graphicData>
              </a:graphic>
            </wp:anchor>
          </w:drawing>
        </mc:Choice>
        <mc:Fallback xmlns:a="http://schemas.openxmlformats.org/drawingml/2006/main">
          <w:pict>
            <v:group id="Group 26640" style="width:467.8pt;height:361.05pt;position:absolute;z-index:-2147483648;mso-position-horizontal-relative:page;mso-position-horizontal:absolute;margin-left:72pt;mso-position-vertical-relative:page;margin-top:234.65pt;" coordsize="59410,45853">
              <v:shape id="Picture 26641" style="position:absolute;width:59410;height:45853;left:0;top:0;" filled="f">
                <v:imagedata r:id="rId9"/>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488F6" w14:textId="77777777" w:rsidR="00735791" w:rsidRDefault="00000000">
    <w:pPr>
      <w:spacing w:after="0" w:line="259" w:lineRule="auto"/>
      <w:ind w:left="5761" w:right="0" w:firstLine="0"/>
      <w:jc w:val="left"/>
    </w:pPr>
    <w:r>
      <w:rPr>
        <w:b/>
        <w:i/>
        <w:color w:val="2F5496"/>
        <w:sz w:val="32"/>
      </w:rPr>
      <w:t>Garu Academic Journal</w:t>
    </w:r>
    <w:r>
      <w:rPr>
        <w:b/>
        <w:sz w:val="32"/>
      </w:rPr>
      <w:t xml:space="preserve"> </w:t>
    </w:r>
  </w:p>
  <w:p w14:paraId="5386EA3B" w14:textId="77777777" w:rsidR="00735791" w:rsidRDefault="00000000">
    <w:pPr>
      <w:spacing w:after="0" w:line="259" w:lineRule="auto"/>
      <w:ind w:left="5761" w:right="0" w:firstLine="0"/>
      <w:jc w:val="left"/>
    </w:pPr>
    <w:r>
      <w:rPr>
        <w:b/>
        <w:i/>
        <w:sz w:val="26"/>
      </w:rPr>
      <w:t xml:space="preserve">August, 2026, Vol 5, No. 1  </w:t>
    </w:r>
  </w:p>
  <w:p w14:paraId="79D4C15B" w14:textId="77777777" w:rsidR="00735791" w:rsidRDefault="00000000">
    <w:pPr>
      <w:tabs>
        <w:tab w:val="center" w:pos="4682"/>
      </w:tabs>
      <w:spacing w:after="0" w:line="259" w:lineRule="auto"/>
      <w:ind w:left="0" w:right="0" w:firstLine="0"/>
      <w:jc w:val="left"/>
    </w:pPr>
    <w:r>
      <w:rPr>
        <w:b/>
        <w:sz w:val="26"/>
      </w:rPr>
      <w:t xml:space="preserve"> </w:t>
    </w:r>
    <w:r>
      <w:rPr>
        <w:b/>
        <w:sz w:val="26"/>
      </w:rPr>
      <w:tab/>
      <w:t xml:space="preserve">                                                            </w:t>
    </w:r>
    <w:r>
      <w:rPr>
        <w:b/>
        <w:color w:val="2F5496"/>
        <w:sz w:val="26"/>
      </w:rPr>
      <w:t xml:space="preserve">ISSN- 2384-6461  </w:t>
    </w:r>
  </w:p>
  <w:p w14:paraId="720ABDC9" w14:textId="77777777" w:rsidR="00735791" w:rsidRDefault="00000000">
    <w:pPr>
      <w:tabs>
        <w:tab w:val="center" w:pos="4682"/>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14ED9418" wp14:editId="795712BD">
              <wp:simplePos x="0" y="0"/>
              <wp:positionH relativeFrom="page">
                <wp:posOffset>0</wp:posOffset>
              </wp:positionH>
              <wp:positionV relativeFrom="page">
                <wp:posOffset>352425</wp:posOffset>
              </wp:positionV>
              <wp:extent cx="7772400" cy="906780"/>
              <wp:effectExtent l="0" t="0" r="0" b="0"/>
              <wp:wrapNone/>
              <wp:docPr id="26575" name="Group 26575"/>
              <wp:cNvGraphicFramePr/>
              <a:graphic xmlns:a="http://schemas.openxmlformats.org/drawingml/2006/main">
                <a:graphicData uri="http://schemas.microsoft.com/office/word/2010/wordprocessingGroup">
                  <wpg:wgp>
                    <wpg:cNvGrpSpPr/>
                    <wpg:grpSpPr>
                      <a:xfrm>
                        <a:off x="0" y="0"/>
                        <a:ext cx="7772400" cy="906780"/>
                        <a:chOff x="0" y="0"/>
                        <a:chExt cx="7772400" cy="906780"/>
                      </a:xfrm>
                    </wpg:grpSpPr>
                    <pic:pic xmlns:pic="http://schemas.openxmlformats.org/drawingml/2006/picture">
                      <pic:nvPicPr>
                        <pic:cNvPr id="26576" name="Picture 26576"/>
                        <pic:cNvPicPr/>
                      </pic:nvPicPr>
                      <pic:blipFill>
                        <a:blip r:embed="rId1"/>
                        <a:stretch>
                          <a:fillRect/>
                        </a:stretch>
                      </pic:blipFill>
                      <pic:spPr>
                        <a:xfrm>
                          <a:off x="819150" y="0"/>
                          <a:ext cx="704850" cy="752475"/>
                        </a:xfrm>
                        <a:prstGeom prst="rect">
                          <a:avLst/>
                        </a:prstGeom>
                      </pic:spPr>
                    </pic:pic>
                    <wps:wsp>
                      <wps:cNvPr id="26577" name="Shape 26577"/>
                      <wps:cNvSpPr/>
                      <wps:spPr>
                        <a:xfrm>
                          <a:off x="0" y="906780"/>
                          <a:ext cx="7772400" cy="0"/>
                        </a:xfrm>
                        <a:custGeom>
                          <a:avLst/>
                          <a:gdLst/>
                          <a:ahLst/>
                          <a:cxnLst/>
                          <a:rect l="0" t="0" r="0" b="0"/>
                          <a:pathLst>
                            <a:path w="7772400">
                              <a:moveTo>
                                <a:pt x="7772400" y="0"/>
                              </a:moveTo>
                              <a:lnTo>
                                <a:pt x="0" y="0"/>
                              </a:lnTo>
                            </a:path>
                          </a:pathLst>
                        </a:custGeom>
                        <a:ln w="2857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6575" style="width:612pt;height:71.4pt;position:absolute;z-index:-2147483631;mso-position-horizontal-relative:page;mso-position-horizontal:absolute;margin-left:0pt;mso-position-vertical-relative:page;margin-top:27.75pt;" coordsize="77724,9067">
              <v:shape id="Picture 26576" style="position:absolute;width:7048;height:7524;left:8191;top:0;" filled="f">
                <v:imagedata r:id="rId7"/>
              </v:shape>
              <v:shape id="Shape 26577" style="position:absolute;width:77724;height:0;left:0;top:9067;" coordsize="7772400,0" path="m7772400,0l0,0">
                <v:stroke weight="2.25pt" endcap="flat" joinstyle="miter" miterlimit="10" on="true" color="#000000"/>
                <v:fill on="false" color="#000000" opacity="0"/>
              </v:shape>
            </v:group>
          </w:pict>
        </mc:Fallback>
      </mc:AlternateContent>
    </w:r>
    <w:r>
      <w:rPr>
        <w:b/>
        <w:i/>
        <w:color w:val="2F5496"/>
        <w:sz w:val="22"/>
      </w:rPr>
      <w:t xml:space="preserve"> </w:t>
    </w:r>
    <w:r>
      <w:rPr>
        <w:b/>
        <w:i/>
        <w:color w:val="2F5496"/>
        <w:sz w:val="22"/>
      </w:rPr>
      <w:tab/>
      <w:t xml:space="preserve">                                                                                   https://www.garujournal.com</w:t>
    </w:r>
    <w:r>
      <w:rPr>
        <w:b/>
        <w:sz w:val="26"/>
      </w:rPr>
      <w:t xml:space="preserve"> </w:t>
    </w:r>
  </w:p>
  <w:p w14:paraId="211FC06E" w14:textId="77777777" w:rsidR="00735791" w:rsidRDefault="00000000">
    <w:pPr>
      <w:spacing w:after="0" w:line="259" w:lineRule="auto"/>
      <w:ind w:left="0" w:right="0" w:firstLine="0"/>
      <w:jc w:val="left"/>
    </w:pPr>
    <w:r>
      <w:rPr>
        <w:rFonts w:ascii="Calibri" w:eastAsia="Calibri" w:hAnsi="Calibri" w:cs="Calibri"/>
        <w:sz w:val="22"/>
      </w:rPr>
      <w:t xml:space="preserve"> </w:t>
    </w:r>
  </w:p>
  <w:p w14:paraId="5A2611E7" w14:textId="77777777" w:rsidR="00735791"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C76DB71" wp14:editId="16CD3E6B">
              <wp:simplePos x="0" y="0"/>
              <wp:positionH relativeFrom="page">
                <wp:posOffset>914400</wp:posOffset>
              </wp:positionH>
              <wp:positionV relativeFrom="page">
                <wp:posOffset>2980055</wp:posOffset>
              </wp:positionV>
              <wp:extent cx="5941060" cy="4585335"/>
              <wp:effectExtent l="0" t="0" r="0" b="0"/>
              <wp:wrapNone/>
              <wp:docPr id="26581" name="Group 26581"/>
              <wp:cNvGraphicFramePr/>
              <a:graphic xmlns:a="http://schemas.openxmlformats.org/drawingml/2006/main">
                <a:graphicData uri="http://schemas.microsoft.com/office/word/2010/wordprocessingGroup">
                  <wpg:wgp>
                    <wpg:cNvGrpSpPr/>
                    <wpg:grpSpPr>
                      <a:xfrm>
                        <a:off x="0" y="0"/>
                        <a:ext cx="5941060" cy="4585335"/>
                        <a:chOff x="0" y="0"/>
                        <a:chExt cx="5941060" cy="4585335"/>
                      </a:xfrm>
                    </wpg:grpSpPr>
                    <pic:pic xmlns:pic="http://schemas.openxmlformats.org/drawingml/2006/picture">
                      <pic:nvPicPr>
                        <pic:cNvPr id="26582" name="Picture 26582"/>
                        <pic:cNvPicPr/>
                      </pic:nvPicPr>
                      <pic:blipFill>
                        <a:blip r:embed="rId8"/>
                        <a:stretch>
                          <a:fillRect/>
                        </a:stretch>
                      </pic:blipFill>
                      <pic:spPr>
                        <a:xfrm>
                          <a:off x="0" y="0"/>
                          <a:ext cx="5941060" cy="4585335"/>
                        </a:xfrm>
                        <a:prstGeom prst="rect">
                          <a:avLst/>
                        </a:prstGeom>
                      </pic:spPr>
                    </pic:pic>
                  </wpg:wgp>
                </a:graphicData>
              </a:graphic>
            </wp:anchor>
          </w:drawing>
        </mc:Choice>
        <mc:Fallback xmlns:a="http://schemas.openxmlformats.org/drawingml/2006/main">
          <w:pict>
            <v:group id="Group 26581" style="width:467.8pt;height:361.05pt;position:absolute;z-index:-2147483648;mso-position-horizontal-relative:page;mso-position-horizontal:absolute;margin-left:72pt;mso-position-vertical-relative:page;margin-top:234.65pt;" coordsize="59410,45853">
              <v:shape id="Picture 26582" style="position:absolute;width:59410;height:45853;left:0;top:0;" filled="f">
                <v:imagedata r:id="rId9"/>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26D15"/>
    <w:multiLevelType w:val="hybridMultilevel"/>
    <w:tmpl w:val="210AE902"/>
    <w:lvl w:ilvl="0" w:tplc="B66CDCC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35AE89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590AA3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8669E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FDE491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11ED22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CD253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1F4F5F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9B0B64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D1876CE"/>
    <w:multiLevelType w:val="hybridMultilevel"/>
    <w:tmpl w:val="218085DA"/>
    <w:lvl w:ilvl="0" w:tplc="6106A1A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4076D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A9275C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586207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6CC8D7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64F11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D4C051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02A3A2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2448C8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27653EF"/>
    <w:multiLevelType w:val="hybridMultilevel"/>
    <w:tmpl w:val="60006248"/>
    <w:lvl w:ilvl="0" w:tplc="CA6E984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5E915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97ECA9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2EE9C5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ABEF14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CAEB93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06E0AD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D502C5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DBA25F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07D55BE"/>
    <w:multiLevelType w:val="hybridMultilevel"/>
    <w:tmpl w:val="396C2C6E"/>
    <w:lvl w:ilvl="0" w:tplc="E068918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4A1BC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73825F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AE4450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6E174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860093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96C10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84680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E4029A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1DE606F"/>
    <w:multiLevelType w:val="hybridMultilevel"/>
    <w:tmpl w:val="A204E970"/>
    <w:lvl w:ilvl="0" w:tplc="27B6D1E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3C806C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F7A3D1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AF8D4C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1C005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198941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38C260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A097A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BE4A88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659361C"/>
    <w:multiLevelType w:val="hybridMultilevel"/>
    <w:tmpl w:val="3F6C8784"/>
    <w:lvl w:ilvl="0" w:tplc="685E71C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AEBEC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3AE97F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FCE5BA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4D6296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37265C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9E6763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FD0403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D360FC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A197F44"/>
    <w:multiLevelType w:val="hybridMultilevel"/>
    <w:tmpl w:val="4D1EE1F0"/>
    <w:lvl w:ilvl="0" w:tplc="3714545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6DC412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B2C5C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FAADB4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0A4E7C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1728DC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B8CE6A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129D3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77AB04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5F50494"/>
    <w:multiLevelType w:val="hybridMultilevel"/>
    <w:tmpl w:val="8E8AEF46"/>
    <w:lvl w:ilvl="0" w:tplc="E3DAA53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AE6BDE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2D6D31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B826DA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9857C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3CC559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122B01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409F5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08D76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C1B61AE"/>
    <w:multiLevelType w:val="multilevel"/>
    <w:tmpl w:val="18BE989E"/>
    <w:lvl w:ilvl="0">
      <w:start w:val="1"/>
      <w:numFmt w:val="decimal"/>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pStyle w:val="Heading2"/>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C243401"/>
    <w:multiLevelType w:val="hybridMultilevel"/>
    <w:tmpl w:val="6AC43C96"/>
    <w:lvl w:ilvl="0" w:tplc="C20A8DC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DE855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B04526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246757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0CAEB8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0CF63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11EC58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94EF7D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116C43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C6D31D1"/>
    <w:multiLevelType w:val="hybridMultilevel"/>
    <w:tmpl w:val="98E410B8"/>
    <w:lvl w:ilvl="0" w:tplc="A56471C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25021E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150183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45C10B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2E14F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8F22FA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3B8EAE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B16D23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AEAD08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EC51338"/>
    <w:multiLevelType w:val="hybridMultilevel"/>
    <w:tmpl w:val="05E45F3C"/>
    <w:lvl w:ilvl="0" w:tplc="FD62537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A4F00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686B24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EF4F7B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94E47E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0BC22B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86AB5E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7A991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46A9AC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4F0B1B34"/>
    <w:multiLevelType w:val="hybridMultilevel"/>
    <w:tmpl w:val="BD0C1DC2"/>
    <w:lvl w:ilvl="0" w:tplc="23C8FED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DA49DF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C52F29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C36BFA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6A22CD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12A24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B2EA31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D497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46ABFD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EAF1BB9"/>
    <w:multiLevelType w:val="hybridMultilevel"/>
    <w:tmpl w:val="9C9A6E54"/>
    <w:lvl w:ilvl="0" w:tplc="1260414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9D89B8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16A66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F703FD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212380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7827F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A62A03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54465B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1AC4FB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1C45898"/>
    <w:multiLevelType w:val="hybridMultilevel"/>
    <w:tmpl w:val="0E0430BC"/>
    <w:lvl w:ilvl="0" w:tplc="F6A0DE6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E56D7F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122B34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7D8F11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4F6A04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9299B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6E0D61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F20E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85CA6A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7D0D3574"/>
    <w:multiLevelType w:val="hybridMultilevel"/>
    <w:tmpl w:val="BD3E7328"/>
    <w:lvl w:ilvl="0" w:tplc="34D422E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0E8275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5E2F2C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A1C207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52939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60ABE3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7B6159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4EE072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C14459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518881577">
    <w:abstractNumId w:val="9"/>
  </w:num>
  <w:num w:numId="2" w16cid:durableId="163667473">
    <w:abstractNumId w:val="1"/>
  </w:num>
  <w:num w:numId="3" w16cid:durableId="1194264266">
    <w:abstractNumId w:val="10"/>
  </w:num>
  <w:num w:numId="4" w16cid:durableId="1293630239">
    <w:abstractNumId w:val="6"/>
  </w:num>
  <w:num w:numId="5" w16cid:durableId="1656567852">
    <w:abstractNumId w:val="2"/>
  </w:num>
  <w:num w:numId="6" w16cid:durableId="1257448110">
    <w:abstractNumId w:val="3"/>
  </w:num>
  <w:num w:numId="7" w16cid:durableId="1142649543">
    <w:abstractNumId w:val="7"/>
  </w:num>
  <w:num w:numId="8" w16cid:durableId="683898289">
    <w:abstractNumId w:val="0"/>
  </w:num>
  <w:num w:numId="9" w16cid:durableId="1358039933">
    <w:abstractNumId w:val="5"/>
  </w:num>
  <w:num w:numId="10" w16cid:durableId="629822670">
    <w:abstractNumId w:val="15"/>
  </w:num>
  <w:num w:numId="11" w16cid:durableId="1593080182">
    <w:abstractNumId w:val="12"/>
  </w:num>
  <w:num w:numId="12" w16cid:durableId="2137405616">
    <w:abstractNumId w:val="11"/>
  </w:num>
  <w:num w:numId="13" w16cid:durableId="625164200">
    <w:abstractNumId w:val="14"/>
  </w:num>
  <w:num w:numId="14" w16cid:durableId="2034844635">
    <w:abstractNumId w:val="13"/>
  </w:num>
  <w:num w:numId="15" w16cid:durableId="111870546">
    <w:abstractNumId w:val="4"/>
  </w:num>
  <w:num w:numId="16" w16cid:durableId="3856842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791"/>
    <w:rsid w:val="001E41A7"/>
    <w:rsid w:val="005F4AC2"/>
    <w:rsid w:val="00735791"/>
    <w:rsid w:val="009D1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94010"/>
  <w15:docId w15:val="{B79355F4-3D98-436F-A9E1-1A4448BFB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8" w:line="248" w:lineRule="auto"/>
      <w:ind w:left="10" w:right="8"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numPr>
        <w:numId w:val="16"/>
      </w:numPr>
      <w:spacing w:after="256" w:line="259" w:lineRule="auto"/>
      <w:ind w:left="10"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numPr>
        <w:ilvl w:val="1"/>
        <w:numId w:val="16"/>
      </w:numPr>
      <w:spacing w:after="256" w:line="259" w:lineRule="auto"/>
      <w:ind w:left="10"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2.png"/><Relationship Id="rId7" Type="http://schemas.openxmlformats.org/officeDocument/2006/relationships/image" Target="media/image10.jpg"/><Relationship Id="rId1" Type="http://schemas.openxmlformats.org/officeDocument/2006/relationships/image" Target="media/image1.jpg"/><Relationship Id="rId9" Type="http://schemas.openxmlformats.org/officeDocument/2006/relationships/image" Target="media/image0.png"/></Relationships>
</file>

<file path=word/_rels/header2.xml.rels><?xml version="1.0" encoding="UTF-8" standalone="yes"?>
<Relationships xmlns="http://schemas.openxmlformats.org/package/2006/relationships"><Relationship Id="rId8" Type="http://schemas.openxmlformats.org/officeDocument/2006/relationships/image" Target="media/image2.png"/><Relationship Id="rId7" Type="http://schemas.openxmlformats.org/officeDocument/2006/relationships/image" Target="media/image10.jpg"/><Relationship Id="rId1" Type="http://schemas.openxmlformats.org/officeDocument/2006/relationships/image" Target="media/image1.jpg"/><Relationship Id="rId9" Type="http://schemas.openxmlformats.org/officeDocument/2006/relationships/image" Target="media/image0.png"/></Relationships>
</file>

<file path=word/_rels/header3.xml.rels><?xml version="1.0" encoding="UTF-8" standalone="yes"?>
<Relationships xmlns="http://schemas.openxmlformats.org/package/2006/relationships"><Relationship Id="rId8" Type="http://schemas.openxmlformats.org/officeDocument/2006/relationships/image" Target="media/image2.png"/><Relationship Id="rId7" Type="http://schemas.openxmlformats.org/officeDocument/2006/relationships/image" Target="media/image10.jpg"/><Relationship Id="rId1" Type="http://schemas.openxmlformats.org/officeDocument/2006/relationships/image" Target="media/image1.jpg"/><Relationship Id="rId9" Type="http://schemas.openxmlformats.org/officeDocument/2006/relationships/image" Target="media/image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8858</Words>
  <Characters>50495</Characters>
  <Application>Microsoft Office Word</Application>
  <DocSecurity>0</DocSecurity>
  <Lines>420</Lines>
  <Paragraphs>118</Paragraphs>
  <ScaleCrop>false</ScaleCrop>
  <Company/>
  <LinksUpToDate>false</LinksUpToDate>
  <CharactersWithSpaces>59235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AFRAH</dc:creator>
  <cp:keywords/>
  <cp:lastModifiedBy>USER</cp:lastModifiedBy>
  <cp:revision>2</cp:revision>
  <dcterms:created xsi:type="dcterms:W3CDTF">2026-09-08T14:30:00Z</dcterms:created>
  <dcterms:modified xsi:type="dcterms:W3CDTF">2026-09-08T14:30:00Z</dcterms:modified>
</cp:coreProperties>
</file>